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ED6F" w14:textId="77777777" w:rsidR="006E2BEE" w:rsidRPr="00CF1727" w:rsidRDefault="006E2BEE" w:rsidP="00CF1727">
      <w:pPr>
        <w:spacing w:after="0" w:line="240" w:lineRule="auto"/>
        <w:jc w:val="right"/>
        <w:rPr>
          <w:rFonts w:asciiTheme="majorBidi" w:hAnsiTheme="majorBidi" w:cstheme="majorBidi"/>
          <w:sz w:val="24"/>
          <w:szCs w:val="24"/>
        </w:rPr>
      </w:pPr>
      <w:bookmarkStart w:id="0" w:name="_Hlk169188300"/>
      <w:r w:rsidRPr="00CF1727">
        <w:rPr>
          <w:rFonts w:asciiTheme="majorBidi" w:hAnsiTheme="majorBidi" w:cstheme="majorBidi"/>
          <w:bCs/>
          <w:sz w:val="24"/>
          <w:szCs w:val="24"/>
        </w:rPr>
        <w:t>1.pielikums</w:t>
      </w:r>
    </w:p>
    <w:p w14:paraId="246087AE" w14:textId="77777777" w:rsidR="006E2BEE" w:rsidRPr="00CF1727" w:rsidRDefault="006E2BEE" w:rsidP="00CF1727">
      <w:pPr>
        <w:spacing w:after="0" w:line="240" w:lineRule="auto"/>
        <w:jc w:val="right"/>
        <w:rPr>
          <w:rFonts w:asciiTheme="majorBidi" w:hAnsiTheme="majorBidi" w:cstheme="majorBidi"/>
          <w:sz w:val="20"/>
          <w:szCs w:val="20"/>
        </w:rPr>
      </w:pPr>
      <w:r w:rsidRPr="00CF1727">
        <w:rPr>
          <w:rFonts w:asciiTheme="majorBidi" w:hAnsiTheme="majorBidi" w:cstheme="majorBidi"/>
          <w:sz w:val="20"/>
          <w:szCs w:val="20"/>
        </w:rPr>
        <w:t>Tirgus izpētei</w:t>
      </w:r>
    </w:p>
    <w:p w14:paraId="188E90ED" w14:textId="04586B26" w:rsidR="006E2BEE" w:rsidRPr="00CF1727" w:rsidRDefault="006E2BEE" w:rsidP="00CF1727">
      <w:pPr>
        <w:spacing w:after="0" w:line="240" w:lineRule="auto"/>
        <w:jc w:val="right"/>
        <w:rPr>
          <w:rFonts w:asciiTheme="majorBidi" w:hAnsiTheme="majorBidi" w:cstheme="majorBidi"/>
          <w:sz w:val="20"/>
          <w:szCs w:val="20"/>
        </w:rPr>
      </w:pPr>
      <w:bookmarkStart w:id="1" w:name="_Hlk170729252"/>
      <w:r w:rsidRPr="00CF1727">
        <w:rPr>
          <w:rFonts w:asciiTheme="majorBidi" w:hAnsiTheme="majorBidi" w:cstheme="majorBidi"/>
          <w:sz w:val="20"/>
          <w:szCs w:val="20"/>
        </w:rPr>
        <w:t>“Iekšējā audita sistēmas izveide Balvu novada pašvaldībā</w:t>
      </w:r>
      <w:r w:rsidRPr="00CF1727">
        <w:rPr>
          <w:rFonts w:asciiTheme="majorBidi" w:hAnsiTheme="majorBidi" w:cstheme="majorBidi"/>
          <w:color w:val="000000" w:themeColor="text1"/>
          <w:sz w:val="20"/>
          <w:szCs w:val="20"/>
        </w:rPr>
        <w:t>”</w:t>
      </w:r>
    </w:p>
    <w:p w14:paraId="305A8D92" w14:textId="5A01750F" w:rsidR="006E2BEE" w:rsidRPr="00CF1727" w:rsidRDefault="006E2BEE" w:rsidP="00CF1727">
      <w:pPr>
        <w:spacing w:after="0" w:line="240" w:lineRule="auto"/>
        <w:jc w:val="right"/>
        <w:rPr>
          <w:rFonts w:asciiTheme="majorBidi" w:hAnsiTheme="majorBidi" w:cstheme="majorBidi"/>
          <w:color w:val="000000" w:themeColor="text1"/>
          <w:sz w:val="20"/>
          <w:szCs w:val="20"/>
        </w:rPr>
      </w:pPr>
      <w:r w:rsidRPr="00CF1727">
        <w:rPr>
          <w:rFonts w:asciiTheme="majorBidi" w:hAnsiTheme="majorBidi" w:cstheme="majorBidi"/>
          <w:color w:val="000000" w:themeColor="text1"/>
          <w:sz w:val="20"/>
          <w:szCs w:val="20"/>
        </w:rPr>
        <w:t>(ID Nr. BNP TI 2024/</w:t>
      </w:r>
      <w:r w:rsidR="00AC0E0E">
        <w:rPr>
          <w:rFonts w:asciiTheme="majorBidi" w:hAnsiTheme="majorBidi" w:cstheme="majorBidi"/>
          <w:color w:val="000000" w:themeColor="text1"/>
          <w:sz w:val="20"/>
          <w:szCs w:val="20"/>
        </w:rPr>
        <w:t>67</w:t>
      </w:r>
      <w:r w:rsidRPr="00CF1727">
        <w:rPr>
          <w:rFonts w:asciiTheme="majorBidi" w:hAnsiTheme="majorBidi" w:cstheme="majorBidi"/>
          <w:color w:val="000000" w:themeColor="text1"/>
          <w:sz w:val="20"/>
          <w:szCs w:val="20"/>
        </w:rPr>
        <w:t>)</w:t>
      </w:r>
    </w:p>
    <w:bookmarkEnd w:id="0"/>
    <w:bookmarkEnd w:id="1"/>
    <w:p w14:paraId="1CF5D9BB" w14:textId="77777777" w:rsidR="006E2BEE" w:rsidRPr="00CF1727" w:rsidRDefault="006E2BEE" w:rsidP="00CF1727">
      <w:pPr>
        <w:spacing w:after="0" w:line="240" w:lineRule="auto"/>
        <w:jc w:val="center"/>
        <w:rPr>
          <w:rFonts w:asciiTheme="majorBidi" w:hAnsiTheme="majorBidi" w:cstheme="majorBidi"/>
          <w:color w:val="000000" w:themeColor="text1"/>
          <w:sz w:val="24"/>
          <w:szCs w:val="24"/>
          <w:highlight w:val="yellow"/>
        </w:rPr>
      </w:pPr>
    </w:p>
    <w:p w14:paraId="1EAE9D8C" w14:textId="77777777" w:rsidR="006E2BEE" w:rsidRPr="00CF1727" w:rsidRDefault="006E2BEE" w:rsidP="00CF1727">
      <w:pPr>
        <w:spacing w:after="0" w:line="240" w:lineRule="auto"/>
        <w:contextualSpacing/>
        <w:jc w:val="center"/>
        <w:rPr>
          <w:rFonts w:asciiTheme="majorBidi" w:hAnsiTheme="majorBidi" w:cstheme="majorBidi"/>
          <w:b/>
          <w:bCs/>
          <w:color w:val="000000" w:themeColor="text1"/>
          <w:sz w:val="28"/>
          <w:szCs w:val="28"/>
        </w:rPr>
      </w:pPr>
      <w:r w:rsidRPr="00CF1727">
        <w:rPr>
          <w:rFonts w:asciiTheme="majorBidi" w:hAnsiTheme="majorBidi" w:cstheme="majorBidi"/>
          <w:b/>
          <w:bCs/>
          <w:color w:val="000000" w:themeColor="text1"/>
          <w:sz w:val="28"/>
          <w:szCs w:val="28"/>
        </w:rPr>
        <w:t>TEHNISKĀ SPECIFIKĀCIJA</w:t>
      </w:r>
    </w:p>
    <w:p w14:paraId="73F62D0C" w14:textId="77777777" w:rsidR="006E2BEE" w:rsidRPr="00CF1727" w:rsidRDefault="006E2BEE" w:rsidP="00CF1727">
      <w:pPr>
        <w:spacing w:after="0" w:line="240" w:lineRule="auto"/>
        <w:jc w:val="center"/>
        <w:rPr>
          <w:rFonts w:asciiTheme="majorBidi" w:hAnsiTheme="majorBidi" w:cstheme="majorBidi"/>
          <w:b/>
          <w:sz w:val="24"/>
          <w:szCs w:val="24"/>
        </w:rPr>
      </w:pPr>
      <w:r w:rsidRPr="00CF1727">
        <w:rPr>
          <w:rFonts w:asciiTheme="majorBidi" w:hAnsiTheme="majorBidi" w:cstheme="majorBidi"/>
          <w:b/>
          <w:sz w:val="24"/>
          <w:szCs w:val="24"/>
        </w:rPr>
        <w:t>“Iekšējā audita sistēmas izveide Balvu novada pašvaldībā”</w:t>
      </w:r>
    </w:p>
    <w:p w14:paraId="462B2257" w14:textId="0D7F8043" w:rsidR="006E2BEE" w:rsidRPr="00CF1727" w:rsidRDefault="006E2BEE" w:rsidP="00CF1727">
      <w:pPr>
        <w:spacing w:after="0" w:line="240" w:lineRule="auto"/>
        <w:jc w:val="center"/>
        <w:rPr>
          <w:rFonts w:asciiTheme="majorBidi" w:hAnsiTheme="majorBidi" w:cstheme="majorBidi"/>
          <w:b/>
          <w:sz w:val="24"/>
          <w:szCs w:val="24"/>
        </w:rPr>
      </w:pPr>
      <w:r w:rsidRPr="00CF1727">
        <w:rPr>
          <w:rFonts w:asciiTheme="majorBidi" w:hAnsiTheme="majorBidi" w:cstheme="majorBidi"/>
          <w:b/>
          <w:sz w:val="24"/>
          <w:szCs w:val="24"/>
        </w:rPr>
        <w:t>(ID Nr. BNP TI 2024/</w:t>
      </w:r>
      <w:r w:rsidR="00AC0E0E">
        <w:rPr>
          <w:rFonts w:asciiTheme="majorBidi" w:hAnsiTheme="majorBidi" w:cstheme="majorBidi"/>
          <w:b/>
          <w:color w:val="000000" w:themeColor="text1"/>
          <w:sz w:val="24"/>
          <w:szCs w:val="24"/>
        </w:rPr>
        <w:t>67</w:t>
      </w:r>
      <w:r w:rsidRPr="00CF1727">
        <w:rPr>
          <w:rFonts w:asciiTheme="majorBidi" w:hAnsiTheme="majorBidi" w:cstheme="majorBidi"/>
          <w:b/>
          <w:sz w:val="24"/>
          <w:szCs w:val="24"/>
        </w:rPr>
        <w:t>)</w:t>
      </w:r>
    </w:p>
    <w:p w14:paraId="3E8EDB2B" w14:textId="77777777" w:rsidR="00F5691C" w:rsidRPr="00CF1727" w:rsidRDefault="00F5691C" w:rsidP="00CF1727">
      <w:pPr>
        <w:pStyle w:val="Normal1"/>
        <w:widowControl w:val="0"/>
        <w:spacing w:before="0" w:beforeAutospacing="0" w:after="0" w:afterAutospacing="0" w:line="240" w:lineRule="auto"/>
        <w:jc w:val="both"/>
        <w:rPr>
          <w:rFonts w:asciiTheme="majorBidi" w:eastAsia="Calibri" w:hAnsiTheme="majorBidi" w:cstheme="majorBidi"/>
        </w:rPr>
      </w:pPr>
    </w:p>
    <w:p w14:paraId="1A28E8F8" w14:textId="2E3E5F60" w:rsidR="00F5691C" w:rsidRPr="00CF1727" w:rsidRDefault="006E2BEE" w:rsidP="00CF1727">
      <w:pPr>
        <w:pStyle w:val="Normal1"/>
        <w:spacing w:before="0" w:beforeAutospacing="0" w:after="0" w:afterAutospacing="0" w:line="240" w:lineRule="auto"/>
        <w:jc w:val="both"/>
        <w:textAlignment w:val="baseline"/>
        <w:rPr>
          <w:rFonts w:asciiTheme="majorBidi" w:eastAsia="Calibri" w:hAnsiTheme="majorBidi" w:cstheme="majorBidi"/>
          <w:color w:val="000000"/>
        </w:rPr>
      </w:pPr>
      <w:r w:rsidRPr="00CF1727">
        <w:rPr>
          <w:rFonts w:asciiTheme="majorBidi" w:eastAsia="Calibri" w:hAnsiTheme="majorBidi" w:cstheme="majorBidi"/>
          <w:b/>
          <w:bCs/>
          <w:color w:val="000000"/>
        </w:rPr>
        <w:t>Mērķis</w:t>
      </w:r>
      <w:r w:rsidRPr="00610965">
        <w:rPr>
          <w:rFonts w:asciiTheme="majorBidi" w:eastAsia="Calibri" w:hAnsiTheme="majorBidi" w:cstheme="majorBidi"/>
          <w:color w:val="000000"/>
        </w:rPr>
        <w:t xml:space="preserve"> – i</w:t>
      </w:r>
      <w:r w:rsidRPr="00CF1727">
        <w:rPr>
          <w:rFonts w:asciiTheme="majorBidi" w:eastAsia="Calibri" w:hAnsiTheme="majorBidi" w:cstheme="majorBidi"/>
          <w:color w:val="000000"/>
        </w:rPr>
        <w:t xml:space="preserve">zveidot iekšējā audita sistēmu Balvu novada pašvaldībā (turpmāk – Pašvaldība) procesu pārvaldības, risku vadības un kontroles novērtēšanai, lai veicinātu pašvaldības funkciju efektīvu izpildi, sniedzot neatkarīgu un objektīvu novērtējumu par auditējamo sistēmu darbību un efektivitāti, finanšu līdzekļu izlietojuma likumību un lietderību, lai uzlabotu </w:t>
      </w:r>
      <w:r w:rsidR="00AB0720" w:rsidRPr="00CF1727">
        <w:rPr>
          <w:rFonts w:asciiTheme="majorBidi" w:eastAsia="Calibri" w:hAnsiTheme="majorBidi" w:cstheme="majorBidi"/>
          <w:color w:val="000000"/>
        </w:rPr>
        <w:t>P</w:t>
      </w:r>
      <w:r w:rsidRPr="00CF1727">
        <w:rPr>
          <w:rFonts w:asciiTheme="majorBidi" w:eastAsia="Calibri" w:hAnsiTheme="majorBidi" w:cstheme="majorBidi"/>
          <w:color w:val="000000"/>
        </w:rPr>
        <w:t xml:space="preserve">ašvaldības institūciju iekšējās kontroles sistēmu, kā arī izstrādātu ieteikumus iekšējās kontroles sistēmas uzlabošanai, lai nodrošinātu atbilstošu risku vadības, kontroles un pārvaldības pasākumu kopumu, kura uzdevums ir nodrošināt </w:t>
      </w:r>
      <w:r w:rsidR="00AB0720" w:rsidRPr="00CF1727">
        <w:rPr>
          <w:rFonts w:asciiTheme="majorBidi" w:eastAsia="Calibri" w:hAnsiTheme="majorBidi" w:cstheme="majorBidi"/>
          <w:color w:val="000000"/>
        </w:rPr>
        <w:t>P</w:t>
      </w:r>
      <w:r w:rsidRPr="00CF1727">
        <w:rPr>
          <w:rFonts w:asciiTheme="majorBidi" w:eastAsia="Calibri" w:hAnsiTheme="majorBidi" w:cstheme="majorBidi"/>
          <w:color w:val="000000"/>
        </w:rPr>
        <w:t>ašvaldības mērķu sasniegšanu un efektīvu darbību.</w:t>
      </w:r>
    </w:p>
    <w:p w14:paraId="331524DB" w14:textId="77777777" w:rsidR="006E2BEE" w:rsidRPr="00CF1727" w:rsidRDefault="006E2BEE" w:rsidP="00CF1727">
      <w:pPr>
        <w:pStyle w:val="Normal1"/>
        <w:spacing w:before="0" w:beforeAutospacing="0" w:after="0" w:afterAutospacing="0" w:line="240" w:lineRule="auto"/>
        <w:jc w:val="both"/>
        <w:textAlignment w:val="baseline"/>
        <w:rPr>
          <w:rFonts w:asciiTheme="majorBidi" w:eastAsia="Calibri" w:hAnsiTheme="majorBidi" w:cstheme="majorBidi"/>
          <w:color w:val="000000"/>
        </w:rPr>
      </w:pPr>
    </w:p>
    <w:p w14:paraId="2F8CAD8C" w14:textId="0159E270" w:rsidR="00F5691C" w:rsidRPr="00CF1727" w:rsidRDefault="00000000" w:rsidP="00CF1727">
      <w:pPr>
        <w:pStyle w:val="Normal1"/>
        <w:numPr>
          <w:ilvl w:val="0"/>
          <w:numId w:val="6"/>
        </w:numPr>
        <w:spacing w:before="0" w:beforeAutospacing="0" w:after="0" w:afterAutospacing="0" w:line="240" w:lineRule="auto"/>
        <w:ind w:left="284" w:hanging="284"/>
        <w:jc w:val="both"/>
        <w:textAlignment w:val="baseline"/>
        <w:rPr>
          <w:rFonts w:asciiTheme="majorBidi" w:eastAsia="Calibri" w:hAnsiTheme="majorBidi" w:cstheme="majorBidi"/>
          <w:b/>
          <w:bCs/>
          <w:color w:val="000000"/>
        </w:rPr>
      </w:pPr>
      <w:r w:rsidRPr="00CF1727">
        <w:rPr>
          <w:rFonts w:asciiTheme="majorBidi" w:eastAsia="Calibri" w:hAnsiTheme="majorBidi" w:cstheme="majorBidi"/>
          <w:b/>
          <w:bCs/>
          <w:color w:val="000000"/>
        </w:rPr>
        <w:t>Vispārēj</w:t>
      </w:r>
      <w:r w:rsidR="001125DA">
        <w:rPr>
          <w:rFonts w:asciiTheme="majorBidi" w:eastAsia="Calibri" w:hAnsiTheme="majorBidi" w:cstheme="majorBidi"/>
          <w:b/>
          <w:bCs/>
          <w:color w:val="000000"/>
        </w:rPr>
        <w:t>ā</w:t>
      </w:r>
      <w:r w:rsidRPr="00CF1727">
        <w:rPr>
          <w:rFonts w:asciiTheme="majorBidi" w:eastAsia="Calibri" w:hAnsiTheme="majorBidi" w:cstheme="majorBidi"/>
          <w:b/>
          <w:bCs/>
          <w:color w:val="000000"/>
        </w:rPr>
        <w:t xml:space="preserve"> informācija</w:t>
      </w:r>
    </w:p>
    <w:p w14:paraId="3D843B51" w14:textId="5D9806B3" w:rsidR="00F5691C" w:rsidRPr="00CF1727" w:rsidRDefault="00AB0720" w:rsidP="001125DA">
      <w:pPr>
        <w:pStyle w:val="Normal1"/>
        <w:spacing w:before="0" w:beforeAutospacing="0" w:after="0" w:afterAutospacing="0" w:line="240" w:lineRule="auto"/>
        <w:jc w:val="both"/>
        <w:textAlignment w:val="baseline"/>
        <w:rPr>
          <w:rFonts w:asciiTheme="majorBidi" w:eastAsia="Calibri" w:hAnsiTheme="majorBidi" w:cstheme="majorBidi"/>
        </w:rPr>
      </w:pPr>
      <w:r w:rsidRPr="00CF1727">
        <w:rPr>
          <w:rFonts w:asciiTheme="majorBidi" w:eastAsia="Calibri" w:hAnsiTheme="majorBidi" w:cstheme="majorBidi"/>
        </w:rPr>
        <w:t>Pašvaldība darbojas saskaņā ar Pašvaldību likumā noteiktajām funkcijām un uzdevumiem.</w:t>
      </w:r>
      <w:r w:rsidR="001125DA">
        <w:rPr>
          <w:rFonts w:asciiTheme="majorBidi" w:eastAsia="Calibri" w:hAnsiTheme="majorBidi" w:cstheme="majorBidi"/>
        </w:rPr>
        <w:t xml:space="preserve"> </w:t>
      </w:r>
      <w:r w:rsidRPr="00CF1727">
        <w:rPr>
          <w:rFonts w:asciiTheme="majorBidi" w:eastAsia="Calibri" w:hAnsiTheme="majorBidi" w:cstheme="majorBidi"/>
        </w:rPr>
        <w:t>Pašvaldību likuma 77.panta trešā daļa nosaka, ka pašvaldība izveido iekšējā audita sistēmu, lai nodrošinātu efektīvu darbību, pārvaldību, risku vadību un kontroles novērtēšanu.</w:t>
      </w:r>
    </w:p>
    <w:p w14:paraId="349857C2" w14:textId="77777777" w:rsidR="000A2A95" w:rsidRPr="00CF1727" w:rsidRDefault="000A2A95" w:rsidP="00CF1727">
      <w:pPr>
        <w:pStyle w:val="Normal1"/>
        <w:spacing w:before="0" w:beforeAutospacing="0" w:after="0" w:afterAutospacing="0" w:line="240" w:lineRule="auto"/>
        <w:jc w:val="both"/>
        <w:textAlignment w:val="baseline"/>
        <w:rPr>
          <w:rFonts w:asciiTheme="majorBidi" w:eastAsia="Calibri" w:hAnsiTheme="majorBidi" w:cstheme="majorBidi"/>
        </w:rPr>
      </w:pPr>
    </w:p>
    <w:p w14:paraId="14E45C75" w14:textId="2B648E8C" w:rsidR="00F5691C" w:rsidRPr="00CF1727" w:rsidRDefault="00000000" w:rsidP="00CF1727">
      <w:pPr>
        <w:pStyle w:val="Normal1"/>
        <w:numPr>
          <w:ilvl w:val="0"/>
          <w:numId w:val="6"/>
        </w:numPr>
        <w:tabs>
          <w:tab w:val="left" w:pos="284"/>
        </w:tabs>
        <w:spacing w:before="0" w:beforeAutospacing="0" w:after="0" w:afterAutospacing="0" w:line="240" w:lineRule="auto"/>
        <w:ind w:hanging="720"/>
        <w:jc w:val="both"/>
        <w:textAlignment w:val="baseline"/>
        <w:rPr>
          <w:rFonts w:asciiTheme="majorBidi" w:eastAsia="Calibri" w:hAnsiTheme="majorBidi" w:cstheme="majorBidi"/>
          <w:b/>
          <w:bCs/>
          <w:color w:val="000000"/>
        </w:rPr>
      </w:pPr>
      <w:r w:rsidRPr="00CF1727">
        <w:rPr>
          <w:rFonts w:asciiTheme="majorBidi" w:eastAsia="Calibri" w:hAnsiTheme="majorBidi" w:cstheme="majorBidi"/>
          <w:b/>
          <w:bCs/>
          <w:color w:val="000000"/>
        </w:rPr>
        <w:t>Darba uzdevums:</w:t>
      </w:r>
    </w:p>
    <w:p w14:paraId="17BBB9AA" w14:textId="201183B1" w:rsidR="00F5691C" w:rsidRPr="00CF1727" w:rsidRDefault="006E2BEE"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funkcijas mērķa, pilnvaru un uzdevumu aprakstīšana.</w:t>
      </w:r>
    </w:p>
    <w:p w14:paraId="17CE7B56" w14:textId="387D4CBD" w:rsidR="00F5691C" w:rsidRPr="00CF1727" w:rsidRDefault="00000000"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vides identificēšana:</w:t>
      </w:r>
    </w:p>
    <w:p w14:paraId="675E5E24"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sistēmu noteikšana un vizuālā attēla izveide;</w:t>
      </w:r>
    </w:p>
    <w:p w14:paraId="2A4E8B5B"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sistēmu mērķa, sistēmas vadītāja un nozīmīgāko procesu aprakstīšana.</w:t>
      </w:r>
    </w:p>
    <w:p w14:paraId="2244FAB3" w14:textId="77777777" w:rsidR="00F5691C" w:rsidRPr="00CF1727" w:rsidRDefault="00000000"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sistēmu novērtēšanas metodikas izstrāde un novērtēšanas organizēšana:</w:t>
      </w:r>
    </w:p>
    <w:p w14:paraId="4B527A4C"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Novērtēšanas metodikas izstrāde;</w:t>
      </w:r>
    </w:p>
    <w:p w14:paraId="362A8436"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Pašvaldības atbildīgo darbinieku iepazīstināšana ar metodiku (prezentācija);</w:t>
      </w:r>
    </w:p>
    <w:p w14:paraId="181ED3DA"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vidē iekļauto sistēmu novērtēšanas organizēšana.</w:t>
      </w:r>
    </w:p>
    <w:p w14:paraId="71B20991" w14:textId="4E90C6B6" w:rsidR="00F5691C" w:rsidRPr="00CF1727" w:rsidRDefault="00000000"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Iekšējā audita vidē ietverto sistēmu prioritāšu noteikšana:</w:t>
      </w:r>
    </w:p>
    <w:p w14:paraId="5625E26E"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Novērtēšanas gaitā iegūtās informācijas apkopošana;</w:t>
      </w:r>
    </w:p>
    <w:p w14:paraId="066C7F64" w14:textId="77777777" w:rsidR="00F5691C" w:rsidRPr="00CF1727" w:rsidRDefault="00000000" w:rsidP="00CF1727">
      <w:pPr>
        <w:pStyle w:val="Sarakstarindkopa1"/>
        <w:numPr>
          <w:ilvl w:val="2"/>
          <w:numId w:val="6"/>
        </w:numPr>
        <w:spacing w:before="0" w:beforeAutospacing="0" w:after="0" w:afterAutospacing="0"/>
        <w:ind w:left="709" w:hanging="709"/>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Prioritāšu noteikšana iekšējā audita vidē ietvertajām sistēmām.</w:t>
      </w:r>
    </w:p>
    <w:p w14:paraId="0B5FC240" w14:textId="662B5144" w:rsidR="00F5691C" w:rsidRPr="00CF1727" w:rsidRDefault="00000000"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 xml:space="preserve">Iekšējā audita stratēģiskā plāna un ilgtermiņa darba plāna sagatavošana, lai iekšējā audita vidē ietvertās sistēmas varētu tikt novērtētas </w:t>
      </w:r>
      <w:r w:rsidR="00B13943">
        <w:rPr>
          <w:rFonts w:asciiTheme="majorBidi" w:eastAsia="Calibri" w:hAnsiTheme="majorBidi" w:cstheme="majorBidi"/>
          <w:color w:val="000000"/>
        </w:rPr>
        <w:t>5 (</w:t>
      </w:r>
      <w:r w:rsidRPr="00CF1727">
        <w:rPr>
          <w:rFonts w:asciiTheme="majorBidi" w:eastAsia="Calibri" w:hAnsiTheme="majorBidi" w:cstheme="majorBidi"/>
          <w:color w:val="000000"/>
        </w:rPr>
        <w:t>piecu</w:t>
      </w:r>
      <w:r w:rsidR="00B13943">
        <w:rPr>
          <w:rFonts w:asciiTheme="majorBidi" w:eastAsia="Calibri" w:hAnsiTheme="majorBidi" w:cstheme="majorBidi"/>
          <w:color w:val="000000"/>
        </w:rPr>
        <w:t>)</w:t>
      </w:r>
      <w:r w:rsidRPr="00CF1727">
        <w:rPr>
          <w:rFonts w:asciiTheme="majorBidi" w:eastAsia="Calibri" w:hAnsiTheme="majorBidi" w:cstheme="majorBidi"/>
          <w:color w:val="000000"/>
        </w:rPr>
        <w:t xml:space="preserve"> gadu periodā.</w:t>
      </w:r>
    </w:p>
    <w:p w14:paraId="73ABB716" w14:textId="7865F625" w:rsidR="00F5691C" w:rsidRPr="00CF1727" w:rsidRDefault="00000000" w:rsidP="00CF1727">
      <w:pPr>
        <w:pStyle w:val="Sarakstarindkopa1"/>
        <w:numPr>
          <w:ilvl w:val="1"/>
          <w:numId w:val="6"/>
        </w:numPr>
        <w:spacing w:before="0" w:beforeAutospacing="0" w:after="0" w:afterAutospacing="0"/>
        <w:ind w:left="426" w:hanging="425"/>
        <w:jc w:val="both"/>
        <w:textAlignment w:val="baseline"/>
        <w:rPr>
          <w:rFonts w:asciiTheme="majorBidi" w:eastAsia="Calibri" w:hAnsiTheme="majorBidi" w:cstheme="majorBidi"/>
          <w:color w:val="000000"/>
        </w:rPr>
      </w:pPr>
      <w:r w:rsidRPr="00CF1727">
        <w:rPr>
          <w:rFonts w:asciiTheme="majorBidi" w:eastAsia="Calibri" w:hAnsiTheme="majorBidi" w:cstheme="majorBidi"/>
          <w:color w:val="000000"/>
        </w:rPr>
        <w:t>Prezentācija Pašvaldības vadībai (klātienē) un Pašvaldības nozīmētām amatpersonām un darbiniekiem (vismaz 5</w:t>
      </w:r>
      <w:r w:rsidR="00B812BE">
        <w:rPr>
          <w:rFonts w:asciiTheme="majorBidi" w:eastAsia="Calibri" w:hAnsiTheme="majorBidi" w:cstheme="majorBidi"/>
          <w:color w:val="000000"/>
        </w:rPr>
        <w:t xml:space="preserve"> (piecām)</w:t>
      </w:r>
      <w:r w:rsidRPr="00CF1727">
        <w:rPr>
          <w:rFonts w:asciiTheme="majorBidi" w:eastAsia="Calibri" w:hAnsiTheme="majorBidi" w:cstheme="majorBidi"/>
          <w:color w:val="000000"/>
        </w:rPr>
        <w:t xml:space="preserve"> vai vairāk personām)</w:t>
      </w:r>
      <w:r w:rsidR="00B812BE">
        <w:rPr>
          <w:rFonts w:asciiTheme="majorBidi" w:eastAsia="Calibri" w:hAnsiTheme="majorBidi" w:cstheme="majorBidi"/>
          <w:color w:val="000000"/>
        </w:rPr>
        <w:t xml:space="preserve">, </w:t>
      </w:r>
      <w:r w:rsidRPr="00CF1727">
        <w:rPr>
          <w:rFonts w:asciiTheme="majorBidi" w:eastAsia="Calibri" w:hAnsiTheme="majorBidi" w:cstheme="majorBidi"/>
          <w:color w:val="000000"/>
        </w:rPr>
        <w:t>attālināti tiešsaistē vai klātienē</w:t>
      </w:r>
      <w:r w:rsidR="00B812BE">
        <w:rPr>
          <w:rFonts w:asciiTheme="majorBidi" w:eastAsia="Calibri" w:hAnsiTheme="majorBidi" w:cstheme="majorBidi"/>
          <w:color w:val="000000"/>
        </w:rPr>
        <w:t>,</w:t>
      </w:r>
      <w:r w:rsidRPr="00CF1727">
        <w:rPr>
          <w:rFonts w:asciiTheme="majorBidi" w:eastAsia="Calibri" w:hAnsiTheme="majorBidi" w:cstheme="majorBidi"/>
          <w:color w:val="000000"/>
        </w:rPr>
        <w:t xml:space="preserve"> par iekšējā audita sistēmu, kas ietver iekšējā audita funkcijas mērķi, pilnvaras un uzdevumus, informāciju par iekšējā audita ilgtermiņa darba plānu, iekšējā audita veikšanas gaitu un ieteikumu izpildes uzraudzības pieeju.</w:t>
      </w:r>
    </w:p>
    <w:p w14:paraId="76752D64" w14:textId="77777777" w:rsidR="006E2BEE" w:rsidRPr="00CF1727" w:rsidRDefault="006E2BEE" w:rsidP="00CF1727">
      <w:pPr>
        <w:pStyle w:val="Sarakstarindkopa1"/>
        <w:spacing w:before="0" w:beforeAutospacing="0" w:after="0" w:afterAutospacing="0"/>
        <w:jc w:val="both"/>
        <w:textAlignment w:val="baseline"/>
        <w:rPr>
          <w:rFonts w:asciiTheme="majorBidi" w:eastAsia="Calibri" w:hAnsiTheme="majorBidi" w:cstheme="majorBidi"/>
          <w:color w:val="000000"/>
        </w:rPr>
      </w:pPr>
    </w:p>
    <w:p w14:paraId="3C58A800" w14:textId="07EB4AFD" w:rsidR="006E2BEE" w:rsidRPr="00CF1727" w:rsidRDefault="006E2BEE" w:rsidP="00CF1727">
      <w:pPr>
        <w:pStyle w:val="Bezatstarpm1"/>
        <w:numPr>
          <w:ilvl w:val="0"/>
          <w:numId w:val="6"/>
        </w:numPr>
        <w:spacing w:before="0" w:beforeAutospacing="0" w:after="0" w:afterAutospacing="0"/>
        <w:ind w:left="284" w:hanging="284"/>
        <w:rPr>
          <w:rFonts w:asciiTheme="majorBidi" w:hAnsiTheme="majorBidi" w:cstheme="majorBidi"/>
          <w:b/>
          <w:bCs/>
        </w:rPr>
      </w:pPr>
      <w:r w:rsidRPr="00CF1727">
        <w:rPr>
          <w:rFonts w:asciiTheme="majorBidi" w:hAnsiTheme="majorBidi" w:cstheme="majorBidi"/>
          <w:b/>
          <w:bCs/>
          <w:color w:val="000000"/>
        </w:rPr>
        <w:t>Iekšējā audita sistēmai jā</w:t>
      </w:r>
      <w:r w:rsidRPr="00CF1727">
        <w:rPr>
          <w:rFonts w:asciiTheme="majorBidi" w:hAnsiTheme="majorBidi" w:cstheme="majorBidi"/>
          <w:b/>
          <w:bCs/>
        </w:rPr>
        <w:t xml:space="preserve">ietver visas </w:t>
      </w:r>
      <w:r w:rsidR="00AE1A66" w:rsidRPr="00CF1727">
        <w:rPr>
          <w:rFonts w:asciiTheme="majorBidi" w:hAnsiTheme="majorBidi" w:cstheme="majorBidi"/>
          <w:b/>
          <w:bCs/>
        </w:rPr>
        <w:t>P</w:t>
      </w:r>
      <w:r w:rsidRPr="00CF1727">
        <w:rPr>
          <w:rFonts w:asciiTheme="majorBidi" w:hAnsiTheme="majorBidi" w:cstheme="majorBidi"/>
          <w:b/>
          <w:bCs/>
        </w:rPr>
        <w:t>ašvaldības autonomās un atbalsta funkcijas:</w:t>
      </w:r>
    </w:p>
    <w:p w14:paraId="7739F72F" w14:textId="0751684A" w:rsidR="006E2BEE" w:rsidRPr="00CF1727" w:rsidRDefault="006E2BEE" w:rsidP="00CF1727">
      <w:pPr>
        <w:pStyle w:val="Bezatstarpm1"/>
        <w:numPr>
          <w:ilvl w:val="1"/>
          <w:numId w:val="6"/>
        </w:numPr>
        <w:spacing w:before="0" w:beforeAutospacing="0" w:after="0" w:afterAutospacing="0"/>
        <w:ind w:left="426" w:hanging="425"/>
        <w:rPr>
          <w:rFonts w:asciiTheme="majorBidi" w:hAnsiTheme="majorBidi" w:cstheme="majorBidi"/>
        </w:rPr>
      </w:pPr>
      <w:r w:rsidRPr="00CF1727">
        <w:rPr>
          <w:rFonts w:asciiTheme="majorBidi" w:hAnsiTheme="majorBidi" w:cstheme="majorBidi"/>
        </w:rPr>
        <w:t>Autonomās funkcijas:</w:t>
      </w:r>
    </w:p>
    <w:p w14:paraId="4618A3BA" w14:textId="58209583"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eastAsia="Calibri" w:hAnsiTheme="majorBidi" w:cstheme="majorBidi"/>
        </w:rPr>
        <w:t>Komunālo pakalpojumu nodrošināšana;</w:t>
      </w:r>
    </w:p>
    <w:p w14:paraId="51D5792E" w14:textId="77777777"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eastAsia="Calibri" w:hAnsiTheme="majorBidi" w:cstheme="majorBidi"/>
        </w:rPr>
        <w:t>Administratīvās teritorijas labiekārtošana;</w:t>
      </w:r>
    </w:p>
    <w:p w14:paraId="4C5DE30D" w14:textId="7514A02C"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Ceļu uzturēšana un attīstība;</w:t>
      </w:r>
    </w:p>
    <w:p w14:paraId="1F2C958B" w14:textId="3351B32B"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Izglītības pakalpojumu nodrošināšana;</w:t>
      </w:r>
    </w:p>
    <w:p w14:paraId="262154A5" w14:textId="605343C6"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Pakalpojumu nodrošināšana;</w:t>
      </w:r>
    </w:p>
    <w:p w14:paraId="60A1EB7F" w14:textId="755BE3E2"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Veselības pakalpojumu nodrošināšana;</w:t>
      </w:r>
    </w:p>
    <w:p w14:paraId="3AFA232A" w14:textId="614256F3"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Sporta pakalpojumu nodrošināšana;</w:t>
      </w:r>
    </w:p>
    <w:p w14:paraId="79C61E56" w14:textId="490EA03D"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Darbs ar jaunatni;</w:t>
      </w:r>
    </w:p>
    <w:p w14:paraId="2DB0944D" w14:textId="51261695"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Sociālo pakalpojumu nodrošināšana;</w:t>
      </w:r>
    </w:p>
    <w:p w14:paraId="005DBA06" w14:textId="3D3D247A"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lastRenderedPageBreak/>
        <w:t>Mājokļu jautājumu risināšana;</w:t>
      </w:r>
    </w:p>
    <w:p w14:paraId="1575EB57" w14:textId="6DAD27B2"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Bērnu interešu aizsardzība;</w:t>
      </w:r>
    </w:p>
    <w:p w14:paraId="15E8522F" w14:textId="26D8CD87"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Saimnieciskās darbības sekmēšana;</w:t>
      </w:r>
    </w:p>
    <w:p w14:paraId="0DE40E9A" w14:textId="6651833D"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Licenču izsniegšana;</w:t>
      </w:r>
    </w:p>
    <w:p w14:paraId="64E1FFB6" w14:textId="5BEE27FA"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Sabiedriskās kārtības pakalpojumi;</w:t>
      </w:r>
    </w:p>
    <w:p w14:paraId="27A69A33" w14:textId="7BAAA0F7"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Zemes izmantošana un apbūve;</w:t>
      </w:r>
    </w:p>
    <w:p w14:paraId="58F8EA6E" w14:textId="469C77BE"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Būvniecības procesa atbalsts;</w:t>
      </w:r>
    </w:p>
    <w:p w14:paraId="03D6B617" w14:textId="586C1CDF"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Civilstāvokļa aktu reģistrācija;</w:t>
      </w:r>
    </w:p>
    <w:p w14:paraId="0EB454D0" w14:textId="73D5495B"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Civilās aizsardzības pakalpojumi;</w:t>
      </w:r>
    </w:p>
    <w:p w14:paraId="0DE43942" w14:textId="3AF21325"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Sabiedriskā transporta pakalpojumi;</w:t>
      </w:r>
    </w:p>
    <w:p w14:paraId="3C2029F5" w14:textId="2DDE0EFF"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Dabas kapitāla ilgtspējīga pārvaldība;</w:t>
      </w:r>
    </w:p>
    <w:p w14:paraId="0712606C" w14:textId="55DA2C30"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Atskurbināšanas pakalpojumi;</w:t>
      </w:r>
    </w:p>
    <w:p w14:paraId="7A056D44" w14:textId="608B2A14"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rPr>
      </w:pPr>
      <w:r w:rsidRPr="00CF1727">
        <w:rPr>
          <w:rFonts w:asciiTheme="majorBidi" w:eastAsia="Calibri" w:hAnsiTheme="majorBidi" w:cstheme="majorBidi"/>
        </w:rPr>
        <w:t>Klimata pārmaiņu ierobežošana.</w:t>
      </w:r>
    </w:p>
    <w:p w14:paraId="382BC431" w14:textId="23FA9DF9" w:rsidR="006E2BEE" w:rsidRPr="00CF1727" w:rsidRDefault="006E2BEE" w:rsidP="00CF1727">
      <w:pPr>
        <w:pStyle w:val="Bezatstarpm1"/>
        <w:numPr>
          <w:ilvl w:val="1"/>
          <w:numId w:val="6"/>
        </w:numPr>
        <w:spacing w:before="0" w:beforeAutospacing="0" w:after="0" w:afterAutospacing="0"/>
        <w:ind w:left="426" w:hanging="425"/>
        <w:rPr>
          <w:rFonts w:asciiTheme="majorBidi" w:hAnsiTheme="majorBidi" w:cstheme="majorBidi"/>
        </w:rPr>
      </w:pPr>
      <w:r w:rsidRPr="00CF1727">
        <w:rPr>
          <w:rFonts w:asciiTheme="majorBidi" w:hAnsiTheme="majorBidi" w:cstheme="majorBidi"/>
        </w:rPr>
        <w:t>Atbalsta funkcijas:</w:t>
      </w:r>
    </w:p>
    <w:p w14:paraId="7CE0D504" w14:textId="6024BB23"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Klientu apkalpošana;</w:t>
      </w:r>
    </w:p>
    <w:p w14:paraId="509105CE" w14:textId="7C2C10D7"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Lietvedība;</w:t>
      </w:r>
    </w:p>
    <w:p w14:paraId="558F248C" w14:textId="418F1439"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Finanses un grāmatvedība;</w:t>
      </w:r>
    </w:p>
    <w:p w14:paraId="6A50F0A8" w14:textId="29079BF6"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Juridiskais atbalsts;</w:t>
      </w:r>
    </w:p>
    <w:p w14:paraId="6AEBD89F" w14:textId="23F6EA43"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Personālvadība;</w:t>
      </w:r>
    </w:p>
    <w:p w14:paraId="772D1DAE" w14:textId="5285C12A"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Saimnieciskais atbalsts;</w:t>
      </w:r>
    </w:p>
    <w:p w14:paraId="2A66FD52" w14:textId="0A1EBC0B" w:rsidR="006E2BEE" w:rsidRPr="00CF1727" w:rsidRDefault="006E2BEE" w:rsidP="00CF1727">
      <w:pPr>
        <w:pStyle w:val="Bezatstarpm1"/>
        <w:numPr>
          <w:ilvl w:val="2"/>
          <w:numId w:val="6"/>
        </w:numPr>
        <w:spacing w:before="0" w:beforeAutospacing="0" w:after="0" w:afterAutospacing="0"/>
        <w:ind w:left="709" w:hanging="709"/>
        <w:rPr>
          <w:rFonts w:asciiTheme="majorBidi" w:hAnsiTheme="majorBidi" w:cstheme="majorBidi"/>
        </w:rPr>
      </w:pPr>
      <w:r w:rsidRPr="00CF1727">
        <w:rPr>
          <w:rFonts w:asciiTheme="majorBidi" w:hAnsiTheme="majorBidi" w:cstheme="majorBidi"/>
        </w:rPr>
        <w:t>Sabiedriskās attiecības;</w:t>
      </w:r>
    </w:p>
    <w:p w14:paraId="52FD64AD" w14:textId="4B2CA0B9" w:rsidR="006E2BEE"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color w:val="000000"/>
        </w:rPr>
      </w:pPr>
      <w:r w:rsidRPr="00CF1727">
        <w:rPr>
          <w:rFonts w:asciiTheme="majorBidi" w:hAnsiTheme="majorBidi" w:cstheme="majorBidi"/>
        </w:rPr>
        <w:t>Pakalpojumi un teritorijas attīstība;</w:t>
      </w:r>
    </w:p>
    <w:p w14:paraId="40EEBCEF" w14:textId="69DF728B" w:rsidR="00F5691C" w:rsidRPr="00CF1727" w:rsidRDefault="006E2BEE" w:rsidP="00CF1727">
      <w:pPr>
        <w:pStyle w:val="Bezatstarpm1"/>
        <w:numPr>
          <w:ilvl w:val="2"/>
          <w:numId w:val="6"/>
        </w:numPr>
        <w:spacing w:before="0" w:beforeAutospacing="0" w:after="0" w:afterAutospacing="0"/>
        <w:ind w:left="709" w:hanging="709"/>
        <w:rPr>
          <w:rFonts w:asciiTheme="majorBidi" w:eastAsia="Calibri" w:hAnsiTheme="majorBidi" w:cstheme="majorBidi"/>
          <w:color w:val="000000"/>
        </w:rPr>
      </w:pPr>
      <w:r w:rsidRPr="00CF1727">
        <w:rPr>
          <w:rFonts w:asciiTheme="majorBidi" w:eastAsia="Calibri" w:hAnsiTheme="majorBidi" w:cstheme="majorBidi"/>
        </w:rPr>
        <w:t>Informācijas un komunikācijas tehnoloģiju atbalsts.</w:t>
      </w:r>
    </w:p>
    <w:p w14:paraId="2BE1CADC" w14:textId="0A03E120" w:rsidR="00E10EF6" w:rsidRPr="00CF1727" w:rsidRDefault="00E10EF6" w:rsidP="00CF1727">
      <w:pPr>
        <w:pStyle w:val="Sarakstarindkopa"/>
        <w:spacing w:after="0" w:line="240" w:lineRule="auto"/>
        <w:ind w:left="0"/>
        <w:rPr>
          <w:rFonts w:asciiTheme="majorBidi" w:hAnsiTheme="majorBidi" w:cstheme="majorBidi"/>
          <w:b/>
          <w:bCs/>
          <w:sz w:val="24"/>
          <w:szCs w:val="24"/>
        </w:rPr>
      </w:pPr>
      <w:r w:rsidRPr="00CF1727">
        <w:rPr>
          <w:rFonts w:asciiTheme="majorBidi" w:hAnsiTheme="majorBidi" w:cstheme="majorBidi"/>
          <w:sz w:val="48"/>
          <w:szCs w:val="48"/>
        </w:rPr>
        <w:t>□</w:t>
      </w:r>
      <w:r w:rsidRPr="00CF1727">
        <w:rPr>
          <w:rFonts w:asciiTheme="majorBidi" w:hAnsiTheme="majorBidi" w:cstheme="majorBidi"/>
          <w:sz w:val="24"/>
          <w:szCs w:val="24"/>
        </w:rPr>
        <w:t xml:space="preserve"> </w:t>
      </w:r>
      <w:r w:rsidRPr="00CF1727">
        <w:rPr>
          <w:rFonts w:asciiTheme="majorBidi" w:hAnsiTheme="majorBidi" w:cstheme="majorBidi"/>
          <w:i/>
          <w:iCs/>
        </w:rPr>
        <w:t>(atzīmē, ja piekrīt)</w:t>
      </w:r>
      <w:r w:rsidRPr="00CF1727">
        <w:rPr>
          <w:rFonts w:asciiTheme="majorBidi" w:hAnsiTheme="majorBidi" w:cstheme="majorBidi"/>
          <w:sz w:val="24"/>
          <w:szCs w:val="24"/>
        </w:rPr>
        <w:t xml:space="preserve"> </w:t>
      </w:r>
      <w:r w:rsidRPr="00CF1727">
        <w:rPr>
          <w:rFonts w:asciiTheme="majorBidi" w:hAnsiTheme="majorBidi" w:cstheme="majorBidi"/>
          <w:b/>
          <w:bCs/>
          <w:sz w:val="24"/>
          <w:szCs w:val="24"/>
        </w:rPr>
        <w:t>Pretendents apliecina, ka apņemas izpildīt pasūtītāja Tehniskajā specifikācijā noteiktās prasības.</w:t>
      </w:r>
    </w:p>
    <w:p w14:paraId="1030126C" w14:textId="77777777" w:rsidR="00E10EF6" w:rsidRPr="00CF1727" w:rsidRDefault="00E10EF6" w:rsidP="00CF1727">
      <w:pPr>
        <w:spacing w:after="0" w:line="240" w:lineRule="auto"/>
        <w:rPr>
          <w:rFonts w:asciiTheme="majorBidi" w:hAnsiTheme="majorBidi" w:cstheme="majorBidi"/>
          <w:sz w:val="24"/>
          <w:szCs w:val="24"/>
        </w:rPr>
      </w:pPr>
    </w:p>
    <w:p w14:paraId="1F3F6B10" w14:textId="77777777" w:rsidR="00E10EF6" w:rsidRPr="00CF1727" w:rsidRDefault="00E10EF6" w:rsidP="00CF1727">
      <w:pPr>
        <w:spacing w:after="0" w:line="240" w:lineRule="auto"/>
        <w:rPr>
          <w:rFonts w:asciiTheme="majorBidi" w:hAnsiTheme="majorBidi" w:cstheme="majorBidi"/>
          <w:sz w:val="24"/>
          <w:szCs w:val="24"/>
        </w:rPr>
      </w:pPr>
    </w:p>
    <w:p w14:paraId="1DC9ECA4" w14:textId="77777777" w:rsidR="00F677B5" w:rsidRPr="00CF1727" w:rsidRDefault="00F677B5" w:rsidP="00CF1727">
      <w:pPr>
        <w:spacing w:after="0" w:line="240" w:lineRule="auto"/>
        <w:rPr>
          <w:rFonts w:asciiTheme="majorBidi" w:hAnsiTheme="majorBidi" w:cstheme="majorBidi"/>
          <w:sz w:val="24"/>
          <w:szCs w:val="24"/>
        </w:rPr>
      </w:pPr>
    </w:p>
    <w:p w14:paraId="0D4E4637" w14:textId="77777777" w:rsidR="00F677B5" w:rsidRPr="00CF1727" w:rsidRDefault="00F677B5" w:rsidP="00CF1727">
      <w:pPr>
        <w:spacing w:after="0" w:line="240" w:lineRule="auto"/>
        <w:rPr>
          <w:rFonts w:asciiTheme="majorBidi" w:hAnsiTheme="majorBidi" w:cstheme="majorBidi"/>
          <w:sz w:val="24"/>
          <w:szCs w:val="24"/>
        </w:rPr>
      </w:pPr>
    </w:p>
    <w:p w14:paraId="53363A38" w14:textId="4C76F0E2" w:rsidR="00E10EF6" w:rsidRPr="00CF1727" w:rsidRDefault="00E10EF6" w:rsidP="00CF1727">
      <w:pPr>
        <w:spacing w:after="0" w:line="240" w:lineRule="auto"/>
        <w:ind w:right="-1"/>
        <w:jc w:val="both"/>
        <w:rPr>
          <w:rFonts w:asciiTheme="majorBidi" w:hAnsiTheme="majorBidi" w:cstheme="majorBidi"/>
          <w:i/>
          <w:sz w:val="24"/>
          <w:szCs w:val="24"/>
        </w:rPr>
      </w:pPr>
      <w:r w:rsidRPr="00CF1727">
        <w:rPr>
          <w:rFonts w:asciiTheme="majorBidi" w:hAnsiTheme="majorBidi" w:cstheme="majorBidi"/>
          <w:i/>
          <w:sz w:val="24"/>
          <w:szCs w:val="24"/>
        </w:rPr>
        <w:t>[Paraksttiesīgās personas amata nosaukums, vārds, uzvārds]</w:t>
      </w:r>
    </w:p>
    <w:p w14:paraId="0440F611" w14:textId="77777777" w:rsidR="00F677B5" w:rsidRPr="00CF1727" w:rsidRDefault="00F677B5" w:rsidP="00CF1727">
      <w:pPr>
        <w:spacing w:after="0" w:line="240" w:lineRule="auto"/>
        <w:ind w:right="-1"/>
        <w:jc w:val="both"/>
        <w:rPr>
          <w:rFonts w:asciiTheme="majorBidi" w:hAnsiTheme="majorBidi" w:cstheme="majorBidi"/>
          <w:iCs/>
          <w:sz w:val="24"/>
          <w:szCs w:val="24"/>
        </w:rPr>
      </w:pPr>
    </w:p>
    <w:sectPr w:rsidR="00F677B5" w:rsidRPr="00CF1727" w:rsidSect="00CF1727">
      <w:footerReference w:type="firs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66E1" w14:textId="77777777" w:rsidR="00EC440E" w:rsidRDefault="00EC440E">
      <w:pPr>
        <w:spacing w:after="0" w:line="240" w:lineRule="auto"/>
      </w:pPr>
      <w:r>
        <w:separator/>
      </w:r>
    </w:p>
  </w:endnote>
  <w:endnote w:type="continuationSeparator" w:id="0">
    <w:p w14:paraId="2B9B90B9" w14:textId="77777777" w:rsidR="00EC440E" w:rsidRDefault="00EC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0094" w14:textId="77777777" w:rsidR="00F5691C"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44DE" w14:textId="77777777" w:rsidR="00EC440E" w:rsidRDefault="00EC440E">
      <w:pPr>
        <w:spacing w:after="0" w:line="240" w:lineRule="auto"/>
      </w:pPr>
      <w:r>
        <w:separator/>
      </w:r>
    </w:p>
  </w:footnote>
  <w:footnote w:type="continuationSeparator" w:id="0">
    <w:p w14:paraId="523A5156" w14:textId="77777777" w:rsidR="00EC440E" w:rsidRDefault="00EC4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44C9"/>
    <w:multiLevelType w:val="multilevel"/>
    <w:tmpl w:val="994EC3BA"/>
    <w:lvl w:ilvl="0">
      <w:start w:val="1"/>
      <w:numFmt w:val="decimal"/>
      <w:lvlText w:val="%1."/>
      <w:lvlJc w:val="left"/>
      <w:pPr>
        <w:tabs>
          <w:tab w:val="left" w:pos="720"/>
        </w:tabs>
        <w:ind w:left="720" w:hanging="360"/>
      </w:pPr>
      <w:rPr>
        <w:rFonts w:ascii="Times New Roman" w:hAnsi="Times New Roman" w:cs="Times New Roman" w:hint="default"/>
        <w:b/>
        <w:bCs w:val="0"/>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32C27962"/>
    <w:multiLevelType w:val="multilevel"/>
    <w:tmpl w:val="8200BF6E"/>
    <w:lvl w:ilvl="0">
      <w:start w:val="2"/>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2" w15:restartNumberingAfterBreak="0">
    <w:nsid w:val="3ED24CB9"/>
    <w:multiLevelType w:val="multilevel"/>
    <w:tmpl w:val="3ED24CB9"/>
    <w:lvl w:ilvl="0">
      <w:start w:val="2"/>
      <w:numFmt w:val="decimal"/>
      <w:lvlText w:val="%1."/>
      <w:lvlJc w:val="left"/>
      <w:pPr>
        <w:ind w:left="720" w:hanging="360"/>
      </w:pPr>
      <w:rPr>
        <w:rFonts w:ascii="Times New Roman" w:hAnsi="Times New Roman" w:cs="Times New Roman" w:hint="default"/>
        <w:b w:val="0"/>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3" w15:restartNumberingAfterBreak="0">
    <w:nsid w:val="419520E4"/>
    <w:multiLevelType w:val="multilevel"/>
    <w:tmpl w:val="C8F610A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56082CB1"/>
    <w:multiLevelType w:val="multilevel"/>
    <w:tmpl w:val="E3C6DC6E"/>
    <w:lvl w:ilvl="0">
      <w:start w:val="2"/>
      <w:numFmt w:val="decimal"/>
      <w:lvlText w:val="%1."/>
      <w:lvlJc w:val="left"/>
      <w:pPr>
        <w:ind w:left="720" w:hanging="360"/>
      </w:pPr>
      <w:rPr>
        <w:rFonts w:ascii="Times New Roman" w:hAnsi="Times New Roman" w:cs="Times New Roman" w:hint="default"/>
        <w:b/>
        <w:bCs w:val="0"/>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5" w15:restartNumberingAfterBreak="0">
    <w:nsid w:val="59EF00AB"/>
    <w:multiLevelType w:val="multilevel"/>
    <w:tmpl w:val="59EF00AB"/>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num w:numId="1" w16cid:durableId="344524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098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7710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56636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8680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945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80"/>
    <w:rsid w:val="000A2A95"/>
    <w:rsid w:val="001003FE"/>
    <w:rsid w:val="001125DA"/>
    <w:rsid w:val="00136928"/>
    <w:rsid w:val="001773BE"/>
    <w:rsid w:val="001929D8"/>
    <w:rsid w:val="001B6F09"/>
    <w:rsid w:val="001C5906"/>
    <w:rsid w:val="002945A5"/>
    <w:rsid w:val="003F1634"/>
    <w:rsid w:val="003F3D90"/>
    <w:rsid w:val="0049186E"/>
    <w:rsid w:val="004D4EAD"/>
    <w:rsid w:val="00514664"/>
    <w:rsid w:val="005D044D"/>
    <w:rsid w:val="00610965"/>
    <w:rsid w:val="00624671"/>
    <w:rsid w:val="006E2BEE"/>
    <w:rsid w:val="007C244D"/>
    <w:rsid w:val="007E4A6D"/>
    <w:rsid w:val="008B2BE9"/>
    <w:rsid w:val="008B4705"/>
    <w:rsid w:val="00AB0720"/>
    <w:rsid w:val="00AC0E0E"/>
    <w:rsid w:val="00AE1A66"/>
    <w:rsid w:val="00B13943"/>
    <w:rsid w:val="00B766EF"/>
    <w:rsid w:val="00B812BE"/>
    <w:rsid w:val="00BA5B3D"/>
    <w:rsid w:val="00C95008"/>
    <w:rsid w:val="00CD7803"/>
    <w:rsid w:val="00CF1727"/>
    <w:rsid w:val="00D11080"/>
    <w:rsid w:val="00D454CA"/>
    <w:rsid w:val="00E10EF6"/>
    <w:rsid w:val="00E13160"/>
    <w:rsid w:val="00E33AD1"/>
    <w:rsid w:val="00E447C3"/>
    <w:rsid w:val="00EC440E"/>
    <w:rsid w:val="00EC5AC7"/>
    <w:rsid w:val="00F5691C"/>
    <w:rsid w:val="00F677B5"/>
    <w:rsid w:val="20BC2723"/>
    <w:rsid w:val="728D63E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FEE6"/>
  <w15:docId w15:val="{F29447C6-D582-49E0-8B85-D9B74DF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kern w:val="2"/>
      <w:sz w:val="22"/>
      <w:szCs w:val="2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
    <w:name w:val="Normal1"/>
    <w:pPr>
      <w:spacing w:before="100" w:beforeAutospacing="1" w:after="100" w:afterAutospacing="1" w:line="273" w:lineRule="auto"/>
    </w:pPr>
    <w:rPr>
      <w:rFonts w:ascii="Calibri" w:eastAsia="Times New Roman" w:hAnsi="Calibri" w:cs="Vrinda"/>
      <w:sz w:val="24"/>
      <w:szCs w:val="24"/>
      <w:lang w:val="lv-LV" w:eastAsia="lv-LV"/>
    </w:rPr>
  </w:style>
  <w:style w:type="paragraph" w:customStyle="1" w:styleId="naisnod">
    <w:name w:val="naisnod"/>
    <w:basedOn w:val="Parasts"/>
    <w:qFormat/>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ezatstarpm1">
    <w:name w:val="Bez atstarpēm1"/>
    <w:basedOn w:val="Parasts"/>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arindkopa1">
    <w:name w:val="Saraksta rindkopa1"/>
    <w:basedOn w:val="Parasts"/>
    <w:pPr>
      <w:suppressAutoHyphens/>
      <w:spacing w:before="100" w:beforeAutospacing="1" w:after="100" w:afterAutospacing="1" w:line="240" w:lineRule="auto"/>
    </w:pPr>
    <w:rPr>
      <w:rFonts w:ascii="Calibri" w:eastAsia="Times New Roman" w:hAnsi="Calibri" w:cs="Vrinda"/>
      <w:kern w:val="0"/>
      <w:sz w:val="24"/>
      <w:szCs w:val="24"/>
      <w:lang w:eastAsia="lv-LV"/>
      <w14:ligatures w14:val="none"/>
    </w:rPr>
  </w:style>
  <w:style w:type="paragraph" w:styleId="Sarakstarindkopa">
    <w:name w:val="List Paragraph"/>
    <w:aliases w:val="H&amp;P List Paragraph,Saistīto dokumentu saraksts,Strip,Syle 1,2,Colorful List - Accent 12,List Paragraph1,List1,Akapit z listą BS,Normal bullet 2,Bullet list,Bullets,Numurets,Colorful List - Accent 11,PPS_Bullet,Body,Citation List"/>
    <w:basedOn w:val="Parasts"/>
    <w:link w:val="SarakstarindkopaRakstz"/>
    <w:uiPriority w:val="34"/>
    <w:qFormat/>
    <w:rsid w:val="00E10EF6"/>
    <w:pPr>
      <w:spacing w:line="252" w:lineRule="auto"/>
      <w:ind w:left="720"/>
      <w:contextualSpacing/>
      <w:jc w:val="both"/>
    </w:pPr>
    <w:rPr>
      <w:kern w:val="0"/>
      <w14:ligatures w14:val="none"/>
    </w:rPr>
  </w:style>
  <w:style w:type="character" w:customStyle="1" w:styleId="SarakstarindkopaRakstz">
    <w:name w:val="Saraksta rindkopa Rakstz."/>
    <w:aliases w:val="H&amp;P List Paragraph Rakstz.,Saistīto dokumentu saraksts Rakstz.,Strip Rakstz.,Syle 1 Rakstz.,2 Rakstz.,Colorful List - Accent 12 Rakstz.,List Paragraph1 Rakstz.,List1 Rakstz.,Akapit z listą BS Rakstz.,Normal bullet 2 Rakstz."/>
    <w:link w:val="Sarakstarindkopa"/>
    <w:uiPriority w:val="34"/>
    <w:qFormat/>
    <w:locked/>
    <w:rsid w:val="00E10EF6"/>
    <w:rPr>
      <w:sz w:val="22"/>
      <w:szCs w:val="22"/>
      <w:lang w:val="lv-LV"/>
    </w:rPr>
  </w:style>
  <w:style w:type="paragraph" w:styleId="Galvene">
    <w:name w:val="header"/>
    <w:basedOn w:val="Parasts"/>
    <w:link w:val="GalveneRakstz"/>
    <w:uiPriority w:val="99"/>
    <w:unhideWhenUsed/>
    <w:rsid w:val="00CF1727"/>
    <w:pPr>
      <w:tabs>
        <w:tab w:val="center" w:pos="4677"/>
        <w:tab w:val="right" w:pos="9355"/>
      </w:tabs>
      <w:spacing w:after="0" w:line="240" w:lineRule="auto"/>
    </w:pPr>
  </w:style>
  <w:style w:type="character" w:customStyle="1" w:styleId="GalveneRakstz">
    <w:name w:val="Galvene Rakstz."/>
    <w:basedOn w:val="Noklusjumarindkopasfonts"/>
    <w:link w:val="Galvene"/>
    <w:uiPriority w:val="99"/>
    <w:rsid w:val="00CF1727"/>
    <w:rPr>
      <w:kern w:val="2"/>
      <w:sz w:val="22"/>
      <w:szCs w:val="22"/>
      <w:lang w:val="lv-LV"/>
      <w14:ligatures w14:val="standardContextual"/>
    </w:rPr>
  </w:style>
  <w:style w:type="paragraph" w:styleId="Kjene">
    <w:name w:val="footer"/>
    <w:basedOn w:val="Parasts"/>
    <w:link w:val="KjeneRakstz"/>
    <w:uiPriority w:val="99"/>
    <w:unhideWhenUsed/>
    <w:rsid w:val="00CF1727"/>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CF1727"/>
    <w:rPr>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2336</Words>
  <Characters>1333</Characters>
  <Application>Microsoft Office Word</Application>
  <DocSecurity>0</DocSecurity>
  <Lines>11</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Lietotājs</dc:creator>
  <cp:lastModifiedBy>BALVI NOVADS</cp:lastModifiedBy>
  <cp:revision>3</cp:revision>
  <dcterms:created xsi:type="dcterms:W3CDTF">2024-07-16T13:11:00Z</dcterms:created>
  <dcterms:modified xsi:type="dcterms:W3CDTF">2024-07-16T13:18:00Z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D2107F05550B446E8F887E349AC72220_12</vt:lpwstr>
  </property>
  <property fmtid="{D5CDD505-2E9C-101B-9397-08002B2CF9AE}" pid="3" name="KSOProductBuildVer">
    <vt:lpwstr>1033-12.2.0.17119</vt:lpwstr>
  </property>
</Properties>
</file>