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A3" w:rsidRDefault="000527A3" w:rsidP="000527A3">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Paskaidrojuma raksts par Viļakas novada pašvaldības 2020.gada budžetu</w:t>
      </w:r>
    </w:p>
    <w:bookmarkEnd w:id="0"/>
    <w:p w:rsidR="000527A3" w:rsidRDefault="000527A3" w:rsidP="000527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Novada sociālekonomiskais raksturojums</w:t>
      </w:r>
    </w:p>
    <w:p w:rsidR="000527A3" w:rsidRDefault="000527A3" w:rsidP="000527A3">
      <w:pPr>
        <w:spacing w:after="0" w:line="240" w:lineRule="auto"/>
        <w:jc w:val="center"/>
        <w:rPr>
          <w:rFonts w:ascii="Times New Roman" w:hAnsi="Times New Roman" w:cs="Times New Roman"/>
          <w:b/>
          <w:sz w:val="24"/>
          <w:szCs w:val="24"/>
        </w:rPr>
      </w:pPr>
    </w:p>
    <w:p w:rsidR="000527A3" w:rsidRDefault="000527A3" w:rsidP="000527A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Viļakas novads atrodas Latvijas ziemeļaustrumu daļā. Novads austrumos 66,6 km garumā robežojas ar Krievijas Federāciju, dienvidos - ar mazāko novadu Latvijā – Baltinavas novadu, rietumos - ar Balvu novadu un ziemeļos - ar Alūksnes novadu. Ar Viļakas novadu sākas Eiropas Savienība.</w:t>
      </w:r>
    </w:p>
    <w:p w:rsidR="000527A3" w:rsidRDefault="000527A3" w:rsidP="000527A3">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Viļakas novada kopējā teritorija ir 638,79 km</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Pēc Pilsonības un migrācijas lietu pārvaldes (PMLP) datiem Viļakas novadā dzīvo 4908 (uz 01.01.2020) iedzīvotāji. Iedzīvotāju blīvums – 7.68 iedzīvotāji/km</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w:t>
      </w:r>
    </w:p>
    <w:p w:rsidR="000527A3" w:rsidRDefault="000527A3" w:rsidP="000527A3">
      <w:pPr>
        <w:spacing w:after="0" w:line="240" w:lineRule="auto"/>
        <w:ind w:firstLine="567"/>
        <w:jc w:val="both"/>
        <w:rPr>
          <w:rFonts w:ascii="Times New Roman" w:hAnsi="Times New Roman" w:cs="Times New Roman"/>
          <w:color w:val="FF0000"/>
          <w:sz w:val="24"/>
          <w:szCs w:val="24"/>
          <w:shd w:val="clear" w:color="auto" w:fill="FFFFFF"/>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Iedzīvotāju skaits Viļakas novada pagastu pārvaldēs 2016.-2019.gads</w:t>
      </w:r>
    </w:p>
    <w:tbl>
      <w:tblPr>
        <w:tblW w:w="9500" w:type="dxa"/>
        <w:tblLook w:val="04A0" w:firstRow="1" w:lastRow="0" w:firstColumn="1" w:lastColumn="0" w:noHBand="0" w:noVBand="1"/>
      </w:tblPr>
      <w:tblGrid>
        <w:gridCol w:w="1180"/>
        <w:gridCol w:w="780"/>
        <w:gridCol w:w="860"/>
        <w:gridCol w:w="820"/>
        <w:gridCol w:w="860"/>
        <w:gridCol w:w="800"/>
        <w:gridCol w:w="800"/>
        <w:gridCol w:w="820"/>
        <w:gridCol w:w="880"/>
        <w:gridCol w:w="820"/>
        <w:gridCol w:w="880"/>
      </w:tblGrid>
      <w:tr w:rsidR="000527A3" w:rsidTr="000527A3">
        <w:trPr>
          <w:trHeight w:val="1380"/>
        </w:trPr>
        <w:tc>
          <w:tcPr>
            <w:tcW w:w="1180" w:type="dxa"/>
            <w:tcBorders>
              <w:top w:val="single" w:sz="4" w:space="0" w:color="auto"/>
              <w:left w:val="single" w:sz="4" w:space="0" w:color="auto"/>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Pagasta pārvalde</w:t>
            </w:r>
          </w:p>
        </w:tc>
        <w:tc>
          <w:tcPr>
            <w:tcW w:w="78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2016.gads</w:t>
            </w:r>
          </w:p>
        </w:tc>
        <w:tc>
          <w:tcPr>
            <w:tcW w:w="86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2017.gads </w:t>
            </w:r>
          </w:p>
        </w:tc>
        <w:tc>
          <w:tcPr>
            <w:tcW w:w="82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2018.gads </w:t>
            </w:r>
          </w:p>
        </w:tc>
        <w:tc>
          <w:tcPr>
            <w:tcW w:w="86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2019.gads </w:t>
            </w:r>
          </w:p>
        </w:tc>
        <w:tc>
          <w:tcPr>
            <w:tcW w:w="80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2020.gads </w:t>
            </w:r>
          </w:p>
        </w:tc>
        <w:tc>
          <w:tcPr>
            <w:tcW w:w="80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Starpība 2016/2017</w:t>
            </w:r>
          </w:p>
        </w:tc>
        <w:tc>
          <w:tcPr>
            <w:tcW w:w="82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Starpība 2017/2018</w:t>
            </w:r>
          </w:p>
        </w:tc>
        <w:tc>
          <w:tcPr>
            <w:tcW w:w="88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Starpība 2018/2019</w:t>
            </w:r>
          </w:p>
        </w:tc>
        <w:tc>
          <w:tcPr>
            <w:tcW w:w="82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Starpība 2019/2020</w:t>
            </w:r>
          </w:p>
        </w:tc>
        <w:tc>
          <w:tcPr>
            <w:tcW w:w="880" w:type="dxa"/>
            <w:tcBorders>
              <w:top w:val="single" w:sz="4" w:space="0" w:color="auto"/>
              <w:left w:val="nil"/>
              <w:bottom w:val="single" w:sz="4" w:space="0" w:color="auto"/>
              <w:right w:val="single" w:sz="4" w:space="0" w:color="auto"/>
            </w:tcBorders>
            <w:textDirection w:val="btLr"/>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Starpība 2016/2020</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Kuprava</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402</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402</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360</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338</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337</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-64</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Medņeva</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696</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661</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646</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633</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632</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Susāji</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625</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619</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603</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599</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564</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Šķilbēni</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1128</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1105</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1061</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1023</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1006</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-105</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Vecumi</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546</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513</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479</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464</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452</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Viļaka </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1407</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1405</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1364</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1327</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1308</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Žīguri</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694</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684</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645</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612</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609</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w:t>
            </w:r>
          </w:p>
        </w:tc>
      </w:tr>
      <w:tr w:rsidR="000527A3" w:rsidTr="000527A3">
        <w:trPr>
          <w:trHeight w:val="315"/>
        </w:trPr>
        <w:tc>
          <w:tcPr>
            <w:tcW w:w="1180" w:type="dxa"/>
            <w:tcBorders>
              <w:top w:val="nil"/>
              <w:left w:val="single" w:sz="4" w:space="0" w:color="auto"/>
              <w:bottom w:val="single" w:sz="4" w:space="0" w:color="auto"/>
              <w:right w:val="single" w:sz="4" w:space="0" w:color="auto"/>
            </w:tcBorders>
            <w:noWrap/>
            <w:vAlign w:val="bottom"/>
            <w:hideMark/>
          </w:tcPr>
          <w:p w:rsidR="000527A3" w:rsidRDefault="000527A3">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Kopā</w:t>
            </w:r>
          </w:p>
        </w:tc>
        <w:tc>
          <w:tcPr>
            <w:tcW w:w="7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5498</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5389</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5158</w:t>
            </w:r>
          </w:p>
        </w:tc>
        <w:tc>
          <w:tcPr>
            <w:tcW w:w="86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4996</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4908</w:t>
            </w:r>
          </w:p>
        </w:tc>
        <w:tc>
          <w:tcPr>
            <w:tcW w:w="80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-109</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-231</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-162</w:t>
            </w:r>
          </w:p>
        </w:tc>
        <w:tc>
          <w:tcPr>
            <w:tcW w:w="82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-88</w:t>
            </w:r>
          </w:p>
        </w:tc>
        <w:tc>
          <w:tcPr>
            <w:tcW w:w="880" w:type="dxa"/>
            <w:tcBorders>
              <w:top w:val="nil"/>
              <w:left w:val="nil"/>
              <w:bottom w:val="single" w:sz="4" w:space="0" w:color="auto"/>
              <w:right w:val="single" w:sz="4" w:space="0" w:color="auto"/>
            </w:tcBorders>
            <w:noWrap/>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-590</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PMLP dati</w:t>
      </w:r>
    </w:p>
    <w:p w:rsidR="000527A3" w:rsidRDefault="000527A3" w:rsidP="000527A3">
      <w:pPr>
        <w:spacing w:after="0" w:line="240" w:lineRule="auto"/>
        <w:ind w:firstLine="567"/>
        <w:jc w:val="both"/>
        <w:rPr>
          <w:rFonts w:ascii="Times New Roman" w:hAnsi="Times New Roman" w:cs="Times New Roman"/>
          <w:sz w:val="24"/>
          <w:szCs w:val="24"/>
        </w:rPr>
      </w:pP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Iedzīvotāju skaits pēdējos piecos gados samazinās vidēji par 118 iedzīvotājiem gadā, savukārt salīdzinot ar 2016.gadu iedzīvotāju skaits samazinājies 10.73%.</w:t>
      </w:r>
    </w:p>
    <w:p w:rsidR="000527A3" w:rsidRDefault="000527A3" w:rsidP="000527A3">
      <w:pPr>
        <w:spacing w:after="0" w:line="240" w:lineRule="auto"/>
        <w:ind w:firstLine="567"/>
        <w:jc w:val="both"/>
        <w:rPr>
          <w:rFonts w:ascii="Times New Roman" w:hAnsi="Times New Roman" w:cs="Times New Roman"/>
          <w:sz w:val="24"/>
          <w:szCs w:val="24"/>
        </w:rPr>
      </w:pPr>
    </w:p>
    <w:p w:rsidR="000527A3" w:rsidRDefault="000527A3" w:rsidP="000527A3">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extent cx="4581525" cy="2752725"/>
            <wp:effectExtent l="0" t="0" r="9525" b="9525"/>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Iedzīvotāju skaits Viļakas novadā 2016.gads-2020.gads</w:t>
      </w:r>
    </w:p>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PMLP dati</w:t>
      </w:r>
    </w:p>
    <w:p w:rsidR="000527A3" w:rsidRDefault="000527A3" w:rsidP="000527A3">
      <w:pPr>
        <w:spacing w:after="0" w:line="240" w:lineRule="auto"/>
        <w:ind w:firstLine="567"/>
        <w:jc w:val="right"/>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 </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Viļakas novada Dzimtsarakstu nodaļas  statistikas dati liecina, ka 2019.gadā novadā reģistrēti 39 jaundzimušie un 94 mirušie,  2018.gadā - 29 jaundzimušie un 120 mirušie, 2017.gadā - 30 jaundzimušie un 113 mirušie. Šie dati norāda uz negatīvu iedzīvotāju pieauguma koeficientu, kas liecina par iedzīvotāju skaita samazināšanos arī turpmākajos gados.</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Bezdarba līmenis Viļakas novadā pēc Nodarbinātības valsts aģentūras informācijas uz 2019.gada 31.decembri sasniedza 10.3% (t.i. reģistrēti 303 bezdarbnieki). Bezdarba līmenis Latgalē – 10.3%, valstī - 4.9%.</w:t>
      </w:r>
    </w:p>
    <w:p w:rsidR="000527A3" w:rsidRDefault="000527A3" w:rsidP="000527A3">
      <w:pPr>
        <w:spacing w:after="0" w:line="240" w:lineRule="auto"/>
        <w:ind w:firstLine="567"/>
        <w:jc w:val="both"/>
        <w:rPr>
          <w:rFonts w:ascii="Times New Roman" w:hAnsi="Times New Roman" w:cs="Times New Roman"/>
          <w:sz w:val="24"/>
          <w:szCs w:val="24"/>
        </w:rPr>
      </w:pPr>
    </w:p>
    <w:p w:rsidR="000527A3" w:rsidRDefault="000527A3" w:rsidP="000527A3">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extent cx="4581525" cy="2752725"/>
            <wp:effectExtent l="0" t="0" r="9525"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Bezdarba līmenis Viļakas novadā 2016.-2020.gads, %</w:t>
      </w:r>
    </w:p>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NVA dati</w:t>
      </w:r>
    </w:p>
    <w:p w:rsidR="000527A3" w:rsidRDefault="000527A3" w:rsidP="000527A3">
      <w:pPr>
        <w:spacing w:after="0" w:line="240" w:lineRule="auto"/>
        <w:ind w:firstLine="567"/>
        <w:jc w:val="center"/>
        <w:rPr>
          <w:rFonts w:ascii="Times New Roman" w:hAnsi="Times New Roman" w:cs="Times New Roman"/>
          <w:sz w:val="20"/>
          <w:szCs w:val="20"/>
        </w:rPr>
      </w:pPr>
    </w:p>
    <w:p w:rsidR="000527A3" w:rsidRDefault="000527A3" w:rsidP="000527A3">
      <w:pPr>
        <w:spacing w:after="0" w:line="240" w:lineRule="auto"/>
        <w:ind w:firstLine="567"/>
        <w:jc w:val="center"/>
        <w:rPr>
          <w:rFonts w:ascii="Times New Roman" w:hAnsi="Times New Roman" w:cs="Times New Roman"/>
          <w:sz w:val="20"/>
          <w:szCs w:val="20"/>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Bezdarbnieku sadalījums pēc </w:t>
      </w:r>
      <w:proofErr w:type="spellStart"/>
      <w:r>
        <w:rPr>
          <w:rFonts w:ascii="Times New Roman" w:hAnsi="Times New Roman" w:cs="Times New Roman"/>
          <w:b/>
          <w:sz w:val="24"/>
          <w:szCs w:val="24"/>
        </w:rPr>
        <w:t>problēmgrupām</w:t>
      </w:r>
      <w:proofErr w:type="spellEnd"/>
      <w:r>
        <w:rPr>
          <w:rFonts w:ascii="Times New Roman" w:hAnsi="Times New Roman" w:cs="Times New Roman"/>
          <w:b/>
          <w:sz w:val="24"/>
          <w:szCs w:val="24"/>
        </w:rPr>
        <w:t xml:space="preserve"> Viļakas novadā</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uz 2019.gada 31.decembri</w:t>
      </w:r>
    </w:p>
    <w:tbl>
      <w:tblPr>
        <w:tblStyle w:val="Reatabula"/>
        <w:tblW w:w="0" w:type="auto"/>
        <w:jc w:val="center"/>
        <w:tblInd w:w="0" w:type="dxa"/>
        <w:tblLook w:val="04A0" w:firstRow="1" w:lastRow="0" w:firstColumn="1" w:lastColumn="0" w:noHBand="0" w:noVBand="1"/>
      </w:tblPr>
      <w:tblGrid>
        <w:gridCol w:w="3192"/>
        <w:gridCol w:w="2445"/>
      </w:tblGrid>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Reģistrēti bezdarbnieki</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303</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t.sk. siev.</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154</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vīrieši</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149</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Ilgstošie b/d</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150</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Invalīdi</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79</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Jaunieši</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14</w:t>
            </w:r>
          </w:p>
        </w:tc>
      </w:tr>
      <w:tr w:rsidR="000527A3" w:rsidTr="000527A3">
        <w:trPr>
          <w:jc w:val="center"/>
        </w:trPr>
        <w:tc>
          <w:tcPr>
            <w:tcW w:w="3192"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Pirms pensijas vecumā</w:t>
            </w:r>
          </w:p>
        </w:tc>
        <w:tc>
          <w:tcPr>
            <w:tcW w:w="2445" w:type="dxa"/>
            <w:tcBorders>
              <w:top w:val="single" w:sz="4" w:space="0" w:color="auto"/>
              <w:left w:val="single" w:sz="4" w:space="0" w:color="auto"/>
              <w:bottom w:val="single" w:sz="4" w:space="0" w:color="auto"/>
              <w:right w:val="single" w:sz="4" w:space="0" w:color="auto"/>
            </w:tcBorders>
            <w:hideMark/>
          </w:tcPr>
          <w:p w:rsidR="000527A3" w:rsidRDefault="000527A3">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67</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NVA dati</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Bezdarbnieku sadalījums  pēc vecuma struktūras Viļakas novadā</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 2019.gada 31.decembri</w:t>
      </w:r>
    </w:p>
    <w:tbl>
      <w:tblPr>
        <w:tblStyle w:val="TableGrid2"/>
        <w:tblW w:w="10135" w:type="dxa"/>
        <w:jc w:val="center"/>
        <w:tblInd w:w="0" w:type="dxa"/>
        <w:tblLook w:val="04A0" w:firstRow="1" w:lastRow="0" w:firstColumn="1" w:lastColumn="0" w:noHBand="0" w:noVBand="1"/>
      </w:tblPr>
      <w:tblGrid>
        <w:gridCol w:w="1417"/>
        <w:gridCol w:w="845"/>
        <w:gridCol w:w="846"/>
        <w:gridCol w:w="845"/>
        <w:gridCol w:w="844"/>
        <w:gridCol w:w="845"/>
        <w:gridCol w:w="845"/>
        <w:gridCol w:w="845"/>
        <w:gridCol w:w="845"/>
        <w:gridCol w:w="895"/>
        <w:gridCol w:w="1063"/>
      </w:tblGrid>
      <w:tr w:rsidR="000527A3" w:rsidTr="000527A3">
        <w:trPr>
          <w:trHeight w:val="183"/>
          <w:jc w:val="center"/>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Vecuma </w:t>
            </w:r>
            <w:proofErr w:type="spellStart"/>
            <w:r>
              <w:rPr>
                <w:rFonts w:ascii="Times New Roman" w:eastAsia="Calibri" w:hAnsi="Times New Roman" w:cs="Times New Roman"/>
                <w:b/>
                <w:sz w:val="20"/>
                <w:szCs w:val="20"/>
              </w:rPr>
              <w:t>grupa</w:t>
            </w:r>
            <w:proofErr w:type="spellEnd"/>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15-24</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25-29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30-34</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35-39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40-44</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45-49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50-54</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55-59</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60</w:t>
            </w:r>
          </w:p>
          <w:p w:rsidR="000527A3" w:rsidRDefault="000527A3">
            <w:pPr>
              <w:spacing w:after="0" w:line="240" w:lineRule="auto"/>
              <w:jc w:val="center"/>
              <w:rPr>
                <w:rFonts w:ascii="Times New Roman" w:eastAsia="Calibri" w:hAnsi="Times New Roman" w:cs="Times New Roman"/>
                <w:b/>
                <w:i/>
              </w:rPr>
            </w:pPr>
            <w:r>
              <w:rPr>
                <w:rFonts w:ascii="Times New Roman" w:eastAsia="Calibri" w:hAnsi="Times New Roman" w:cs="Times New Roman"/>
                <w:b/>
                <w:i/>
              </w:rPr>
              <w:t xml:space="preserve">+ </w:t>
            </w:r>
            <w:proofErr w:type="spellStart"/>
            <w:r>
              <w:rPr>
                <w:rFonts w:ascii="Times New Roman" w:eastAsia="Calibri" w:hAnsi="Times New Roman" w:cs="Times New Roman"/>
                <w:b/>
                <w:i/>
              </w:rPr>
              <w:t>vairāk</w:t>
            </w:r>
            <w:proofErr w:type="spellEnd"/>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i/>
              </w:rPr>
            </w:pPr>
            <w:proofErr w:type="spellStart"/>
            <w:r>
              <w:rPr>
                <w:rFonts w:ascii="Times New Roman" w:eastAsia="Calibri" w:hAnsi="Times New Roman" w:cs="Times New Roman"/>
                <w:b/>
                <w:i/>
              </w:rPr>
              <w:t>Kopā</w:t>
            </w:r>
            <w:proofErr w:type="spellEnd"/>
          </w:p>
        </w:tc>
      </w:tr>
      <w:tr w:rsidR="000527A3" w:rsidTr="000527A3">
        <w:trPr>
          <w:trHeight w:val="222"/>
          <w:jc w:val="center"/>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Bezdarbnieku</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skaits</w:t>
            </w:r>
            <w:proofErr w:type="spellEnd"/>
          </w:p>
        </w:tc>
        <w:tc>
          <w:tcPr>
            <w:tcW w:w="845" w:type="dxa"/>
            <w:tcBorders>
              <w:top w:val="single" w:sz="4" w:space="0" w:color="000000"/>
              <w:left w:val="single" w:sz="4" w:space="0" w:color="000000"/>
              <w:bottom w:val="single" w:sz="4" w:space="0" w:color="000000"/>
              <w:right w:val="single" w:sz="4" w:space="0" w:color="000000"/>
            </w:tcBorders>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p w:rsidR="000527A3" w:rsidRDefault="000527A3">
            <w:pPr>
              <w:spacing w:after="0" w:line="240" w:lineRule="auto"/>
              <w:jc w:val="center"/>
              <w:rPr>
                <w:rFonts w:ascii="Times New Roman" w:eastAsia="Calibri"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84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44"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84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4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84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84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895"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63"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lastRenderedPageBreak/>
        <w:t>Avots: NVA dati</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Bezdarbnieku sadalījums pēc izglītības līmeņa Viļakas novadā</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 2019.gada 31.decembri</w:t>
      </w:r>
    </w:p>
    <w:tbl>
      <w:tblPr>
        <w:tblStyle w:val="TableGrid3"/>
        <w:tblW w:w="0" w:type="auto"/>
        <w:tblInd w:w="0" w:type="dxa"/>
        <w:tblLook w:val="04A0" w:firstRow="1" w:lastRow="0" w:firstColumn="1" w:lastColumn="0" w:noHBand="0" w:noVBand="1"/>
      </w:tblPr>
      <w:tblGrid>
        <w:gridCol w:w="1417"/>
        <w:gridCol w:w="995"/>
        <w:gridCol w:w="1274"/>
        <w:gridCol w:w="1018"/>
        <w:gridCol w:w="1457"/>
        <w:gridCol w:w="1491"/>
        <w:gridCol w:w="644"/>
      </w:tblGrid>
      <w:tr w:rsidR="000527A3" w:rsidTr="000527A3">
        <w:tc>
          <w:tcPr>
            <w:tcW w:w="1418"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Izglītības</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līmenis</w:t>
            </w:r>
            <w:proofErr w:type="spellEnd"/>
          </w:p>
        </w:tc>
        <w:tc>
          <w:tcPr>
            <w:tcW w:w="1178"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augstākā</w:t>
            </w:r>
            <w:proofErr w:type="spellEnd"/>
          </w:p>
        </w:tc>
        <w:tc>
          <w:tcPr>
            <w:tcW w:w="1310"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profesionālā</w:t>
            </w:r>
            <w:proofErr w:type="spellEnd"/>
          </w:p>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vidējā</w:t>
            </w:r>
            <w:proofErr w:type="spellEnd"/>
          </w:p>
        </w:tc>
        <w:tc>
          <w:tcPr>
            <w:tcW w:w="1212"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vispārējā</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vidējā</w:t>
            </w:r>
            <w:proofErr w:type="spellEnd"/>
          </w:p>
        </w:tc>
        <w:tc>
          <w:tcPr>
            <w:tcW w:w="1563"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pamatizglītība</w:t>
            </w:r>
            <w:proofErr w:type="spellEnd"/>
          </w:p>
        </w:tc>
        <w:tc>
          <w:tcPr>
            <w:tcW w:w="1939"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zemāka</w:t>
            </w:r>
            <w:proofErr w:type="spellEnd"/>
            <w:r>
              <w:rPr>
                <w:rFonts w:ascii="Times New Roman" w:eastAsia="Calibri" w:hAnsi="Times New Roman" w:cs="Times New Roman"/>
                <w:b/>
                <w:sz w:val="20"/>
                <w:szCs w:val="20"/>
              </w:rPr>
              <w:t xml:space="preserve"> par </w:t>
            </w:r>
            <w:proofErr w:type="spellStart"/>
            <w:r>
              <w:rPr>
                <w:rFonts w:ascii="Times New Roman" w:eastAsia="Calibri" w:hAnsi="Times New Roman" w:cs="Times New Roman"/>
                <w:b/>
                <w:sz w:val="20"/>
                <w:szCs w:val="20"/>
              </w:rPr>
              <w:t>pamatizglītību</w:t>
            </w:r>
            <w:proofErr w:type="spellEnd"/>
          </w:p>
        </w:tc>
        <w:tc>
          <w:tcPr>
            <w:tcW w:w="724"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kopā</w:t>
            </w:r>
            <w:proofErr w:type="spellEnd"/>
          </w:p>
        </w:tc>
      </w:tr>
      <w:tr w:rsidR="000527A3" w:rsidTr="000527A3">
        <w:tc>
          <w:tcPr>
            <w:tcW w:w="1418"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Bezdarbnieku</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skaits</w:t>
            </w:r>
            <w:proofErr w:type="spellEnd"/>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w:t>
            </w:r>
          </w:p>
        </w:tc>
        <w:tc>
          <w:tcPr>
            <w:tcW w:w="1212"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563"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939"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24"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NVA dati</w:t>
      </w: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Bezdarbnieku sadalījums </w:t>
      </w:r>
      <w:proofErr w:type="spellStart"/>
      <w:r>
        <w:rPr>
          <w:rFonts w:ascii="Times New Roman" w:hAnsi="Times New Roman" w:cs="Times New Roman"/>
          <w:b/>
          <w:sz w:val="24"/>
          <w:szCs w:val="24"/>
        </w:rPr>
        <w:t>sadalījums</w:t>
      </w:r>
      <w:proofErr w:type="spellEnd"/>
      <w:r>
        <w:rPr>
          <w:rFonts w:ascii="Times New Roman" w:hAnsi="Times New Roman" w:cs="Times New Roman"/>
          <w:b/>
          <w:sz w:val="24"/>
          <w:szCs w:val="24"/>
        </w:rPr>
        <w:t xml:space="preserve"> pēc bezdarba ilguma</w:t>
      </w:r>
      <w:r>
        <w:t xml:space="preserve"> </w:t>
      </w:r>
      <w:r>
        <w:rPr>
          <w:rFonts w:ascii="Times New Roman" w:hAnsi="Times New Roman" w:cs="Times New Roman"/>
          <w:b/>
          <w:sz w:val="24"/>
          <w:szCs w:val="24"/>
        </w:rPr>
        <w:t>Viļakas novadā</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 2019.gada 31.decembri</w:t>
      </w:r>
    </w:p>
    <w:tbl>
      <w:tblPr>
        <w:tblStyle w:val="TableGrid4"/>
        <w:tblW w:w="0" w:type="auto"/>
        <w:tblInd w:w="0" w:type="dxa"/>
        <w:tblLook w:val="04A0" w:firstRow="1" w:lastRow="0" w:firstColumn="1" w:lastColumn="0" w:noHBand="0" w:noVBand="1"/>
      </w:tblPr>
      <w:tblGrid>
        <w:gridCol w:w="1459"/>
        <w:gridCol w:w="1406"/>
        <w:gridCol w:w="1406"/>
        <w:gridCol w:w="1390"/>
        <w:gridCol w:w="1352"/>
        <w:gridCol w:w="1283"/>
      </w:tblGrid>
      <w:tr w:rsidR="000527A3" w:rsidTr="000527A3">
        <w:tc>
          <w:tcPr>
            <w:tcW w:w="1478"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Bezdarba </w:t>
            </w:r>
            <w:proofErr w:type="spellStart"/>
            <w:r>
              <w:rPr>
                <w:rFonts w:ascii="Times New Roman" w:eastAsia="Calibri" w:hAnsi="Times New Roman" w:cs="Times New Roman"/>
                <w:b/>
                <w:sz w:val="20"/>
                <w:szCs w:val="20"/>
              </w:rPr>
              <w:t>ilgums</w:t>
            </w:r>
            <w:proofErr w:type="spellEnd"/>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Līdz</w:t>
            </w:r>
            <w:proofErr w:type="spellEnd"/>
            <w:r>
              <w:rPr>
                <w:rFonts w:ascii="Times New Roman" w:eastAsia="Calibri" w:hAnsi="Times New Roman" w:cs="Times New Roman"/>
                <w:b/>
                <w:sz w:val="20"/>
                <w:szCs w:val="20"/>
              </w:rPr>
              <w:t xml:space="preserve"> 6 </w:t>
            </w:r>
            <w:proofErr w:type="spellStart"/>
            <w:r>
              <w:rPr>
                <w:rFonts w:ascii="Times New Roman" w:eastAsia="Calibri" w:hAnsi="Times New Roman" w:cs="Times New Roman"/>
                <w:b/>
                <w:sz w:val="20"/>
                <w:szCs w:val="20"/>
              </w:rPr>
              <w:t>mēnešiem</w:t>
            </w:r>
            <w:proofErr w:type="spellEnd"/>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6-12 </w:t>
            </w:r>
            <w:proofErr w:type="spellStart"/>
            <w:r>
              <w:rPr>
                <w:rFonts w:ascii="Times New Roman" w:eastAsia="Calibri" w:hAnsi="Times New Roman" w:cs="Times New Roman"/>
                <w:b/>
                <w:sz w:val="20"/>
                <w:szCs w:val="20"/>
              </w:rPr>
              <w:t>mēnešiem</w:t>
            </w:r>
            <w:proofErr w:type="spellEnd"/>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1—3 </w:t>
            </w:r>
            <w:proofErr w:type="spellStart"/>
            <w:r>
              <w:rPr>
                <w:rFonts w:ascii="Times New Roman" w:eastAsia="Calibri" w:hAnsi="Times New Roman" w:cs="Times New Roman"/>
                <w:b/>
                <w:sz w:val="20"/>
                <w:szCs w:val="20"/>
              </w:rPr>
              <w:t>gadiem</w:t>
            </w:r>
            <w:proofErr w:type="spellEnd"/>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3 </w:t>
            </w:r>
            <w:proofErr w:type="spellStart"/>
            <w:r>
              <w:rPr>
                <w:rFonts w:ascii="Times New Roman" w:eastAsia="Calibri" w:hAnsi="Times New Roman" w:cs="Times New Roman"/>
                <w:b/>
                <w:sz w:val="20"/>
                <w:szCs w:val="20"/>
              </w:rPr>
              <w:t>gadi</w:t>
            </w:r>
            <w:proofErr w:type="spellEnd"/>
            <w:r>
              <w:rPr>
                <w:rFonts w:ascii="Times New Roman" w:eastAsia="Calibri" w:hAnsi="Times New Roman" w:cs="Times New Roman"/>
                <w:b/>
                <w:sz w:val="20"/>
                <w:szCs w:val="20"/>
              </w:rPr>
              <w:t xml:space="preserve"> un </w:t>
            </w:r>
            <w:proofErr w:type="spellStart"/>
            <w:r>
              <w:rPr>
                <w:rFonts w:ascii="Times New Roman" w:eastAsia="Calibri" w:hAnsi="Times New Roman" w:cs="Times New Roman"/>
                <w:b/>
                <w:sz w:val="20"/>
                <w:szCs w:val="20"/>
              </w:rPr>
              <w:t>vairāk</w:t>
            </w:r>
            <w:proofErr w:type="spellEnd"/>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kopā</w:t>
            </w:r>
            <w:proofErr w:type="spellEnd"/>
          </w:p>
        </w:tc>
      </w:tr>
      <w:tr w:rsidR="000527A3" w:rsidTr="000527A3">
        <w:tc>
          <w:tcPr>
            <w:tcW w:w="1478"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Bezdarbnieku</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skaits</w:t>
            </w:r>
            <w:proofErr w:type="spellEnd"/>
          </w:p>
        </w:tc>
        <w:tc>
          <w:tcPr>
            <w:tcW w:w="1550"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1550"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620"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594"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552" w:type="dxa"/>
            <w:tcBorders>
              <w:top w:val="single" w:sz="4" w:space="0" w:color="000000"/>
              <w:left w:val="single" w:sz="4" w:space="0" w:color="000000"/>
              <w:bottom w:val="single" w:sz="4" w:space="0" w:color="000000"/>
              <w:right w:val="single" w:sz="4" w:space="0" w:color="000000"/>
            </w:tcBorders>
            <w:hideMark/>
          </w:tcPr>
          <w:p w:rsidR="000527A3" w:rsidRDefault="000527A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NVA dati</w:t>
      </w: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Uzņēmumi</w:t>
      </w: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pStyle w:val="Bezatstarpm"/>
        <w:ind w:firstLine="567"/>
        <w:jc w:val="both"/>
        <w:rPr>
          <w:rFonts w:ascii="Times New Roman" w:hAnsi="Times New Roman"/>
          <w:sz w:val="24"/>
          <w:szCs w:val="24"/>
        </w:rPr>
      </w:pPr>
      <w:r>
        <w:rPr>
          <w:rFonts w:ascii="Times New Roman" w:hAnsi="Times New Roman"/>
          <w:sz w:val="24"/>
          <w:szCs w:val="24"/>
        </w:rPr>
        <w:t xml:space="preserve">Pēc Lursoft informācijas Viļakas novadā 2019.gadā ir reģistrēti 11 uzņēmumi </w:t>
      </w:r>
      <w:proofErr w:type="spellStart"/>
      <w:r>
        <w:rPr>
          <w:rFonts w:ascii="Times New Roman" w:hAnsi="Times New Roman"/>
          <w:sz w:val="24"/>
          <w:szCs w:val="24"/>
        </w:rPr>
        <w:t>tsk</w:t>
      </w:r>
      <w:proofErr w:type="spellEnd"/>
      <w:r>
        <w:rPr>
          <w:rFonts w:ascii="Times New Roman" w:hAnsi="Times New Roman"/>
          <w:sz w:val="24"/>
          <w:szCs w:val="24"/>
        </w:rPr>
        <w:t xml:space="preserve">. sabiedrība ar ierobežotu atbildību - 9, ārvalstu komersanta filiāle – 1, individuālais uzņēmums – 1, bet likvidēti arī 21 uzņēmums. </w:t>
      </w:r>
    </w:p>
    <w:p w:rsidR="000527A3" w:rsidRDefault="000527A3" w:rsidP="000527A3">
      <w:pPr>
        <w:pStyle w:val="Bezatstarpm"/>
        <w:ind w:firstLine="567"/>
        <w:jc w:val="both"/>
        <w:rPr>
          <w:rFonts w:ascii="Times New Roman" w:hAnsi="Times New Roman"/>
          <w:sz w:val="24"/>
          <w:szCs w:val="24"/>
        </w:rPr>
      </w:pPr>
      <w:r>
        <w:rPr>
          <w:rFonts w:ascii="Times New Roman" w:hAnsi="Times New Roman"/>
          <w:sz w:val="24"/>
          <w:szCs w:val="24"/>
        </w:rPr>
        <w:t xml:space="preserve">Kopumā Viļakas novadā darbojas 341 dažādu tiesisko formu juridiskas personas t.sk. pašvaldības iestādes, biedrības un draudzes. Vērtējot uzņēmējdarbības izplatību novada teritorijā, visvairāk uzņēmēju ir Šķilbēnu pagastā 84 vienības, otrā vietā Viļakas pilsēta 54 vienības, vismazāk uzņēmēju ir Žīguru pagastā 23 vienības un Kupravas pagastā 17 vienības. </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Viļakas novadā strādā 1 lauku attīstības speciālists, kurš sniedz konsultācijas lauksaimniekiem un rīko informatīvos seminārus. </w:t>
      </w:r>
    </w:p>
    <w:p w:rsidR="000527A3" w:rsidRDefault="000527A3" w:rsidP="000527A3">
      <w:pPr>
        <w:spacing w:after="0" w:line="240" w:lineRule="auto"/>
        <w:ind w:firstLine="567"/>
        <w:jc w:val="center"/>
        <w:rPr>
          <w:rFonts w:ascii="Times New Roman" w:hAnsi="Times New Roman" w:cs="Times New Roman"/>
          <w:b/>
          <w:sz w:val="24"/>
          <w:szCs w:val="24"/>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Uzņēmumu un iestāžu skaits Viļakas novadā 2019.gadā</w:t>
      </w:r>
    </w:p>
    <w:tbl>
      <w:tblPr>
        <w:tblW w:w="5580" w:type="dxa"/>
        <w:jc w:val="center"/>
        <w:tblLook w:val="04A0" w:firstRow="1" w:lastRow="0" w:firstColumn="1" w:lastColumn="0" w:noHBand="0" w:noVBand="1"/>
      </w:tblPr>
      <w:tblGrid>
        <w:gridCol w:w="2140"/>
        <w:gridCol w:w="1840"/>
        <w:gridCol w:w="1600"/>
      </w:tblGrid>
      <w:tr w:rsidR="000527A3" w:rsidTr="000527A3">
        <w:trPr>
          <w:trHeight w:val="1260"/>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Nosaukums</w:t>
            </w:r>
          </w:p>
        </w:tc>
        <w:tc>
          <w:tcPr>
            <w:tcW w:w="1840" w:type="dxa"/>
            <w:tcBorders>
              <w:top w:val="single" w:sz="4" w:space="0" w:color="auto"/>
              <w:left w:val="nil"/>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Uzņēmumu skaits</w:t>
            </w:r>
          </w:p>
        </w:tc>
        <w:tc>
          <w:tcPr>
            <w:tcW w:w="1600" w:type="dxa"/>
            <w:tcBorders>
              <w:top w:val="single" w:sz="4" w:space="0" w:color="auto"/>
              <w:left w:val="nil"/>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Pašvaldības iestāžu skaits</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center"/>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Kupravas pagasts</w:t>
            </w:r>
          </w:p>
        </w:tc>
        <w:tc>
          <w:tcPr>
            <w:tcW w:w="1840" w:type="dxa"/>
            <w:tcBorders>
              <w:top w:val="nil"/>
              <w:left w:val="nil"/>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1600" w:type="dxa"/>
            <w:tcBorders>
              <w:top w:val="nil"/>
              <w:left w:val="nil"/>
              <w:bottom w:val="single" w:sz="4" w:space="0" w:color="auto"/>
              <w:right w:val="single" w:sz="4" w:space="0" w:color="auto"/>
            </w:tcBorders>
            <w:vAlign w:val="center"/>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Medņevas pagasts</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Susāju pagasts</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Šķilbēnu pagasts</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84</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Vecumu pagasts</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Žīguru pagasts</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Viļaka</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r>
      <w:tr w:rsidR="000527A3" w:rsidTr="000527A3">
        <w:trPr>
          <w:trHeight w:val="315"/>
          <w:jc w:val="center"/>
        </w:trPr>
        <w:tc>
          <w:tcPr>
            <w:tcW w:w="2140" w:type="dxa"/>
            <w:tcBorders>
              <w:top w:val="nil"/>
              <w:left w:val="single" w:sz="4" w:space="0" w:color="auto"/>
              <w:bottom w:val="single" w:sz="4" w:space="0" w:color="auto"/>
              <w:right w:val="single" w:sz="4" w:space="0" w:color="auto"/>
            </w:tcBorders>
            <w:vAlign w:val="bottom"/>
            <w:hideMark/>
          </w:tcPr>
          <w:p w:rsidR="000527A3" w:rsidRDefault="000527A3">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Kopā</w:t>
            </w:r>
          </w:p>
        </w:tc>
        <w:tc>
          <w:tcPr>
            <w:tcW w:w="184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302</w:t>
            </w:r>
          </w:p>
        </w:tc>
        <w:tc>
          <w:tcPr>
            <w:tcW w:w="1600" w:type="dxa"/>
            <w:tcBorders>
              <w:top w:val="nil"/>
              <w:left w:val="nil"/>
              <w:bottom w:val="single" w:sz="4" w:space="0" w:color="auto"/>
              <w:right w:val="single" w:sz="4" w:space="0" w:color="auto"/>
            </w:tcBorders>
            <w:vAlign w:val="bottom"/>
            <w:hideMark/>
          </w:tcPr>
          <w:p w:rsidR="000527A3" w:rsidRDefault="000527A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39</w:t>
            </w:r>
          </w:p>
        </w:tc>
      </w:tr>
    </w:tbl>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Lursoft</w:t>
      </w:r>
    </w:p>
    <w:p w:rsidR="000527A3" w:rsidRDefault="000527A3" w:rsidP="000527A3">
      <w:pPr>
        <w:spacing w:after="0" w:line="240" w:lineRule="auto"/>
        <w:ind w:firstLine="567"/>
        <w:jc w:val="right"/>
        <w:rPr>
          <w:rFonts w:ascii="Times New Roman" w:hAnsi="Times New Roman" w:cs="Times New Roman"/>
          <w:sz w:val="20"/>
          <w:szCs w:val="20"/>
        </w:rPr>
      </w:pP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Galvenā tautsaimniecības nozare Viļakas novadā ir lauksaimniecība. Visizplatītākā ir jauktā lauksaimniecība, saimniecības nodarbojas gan ar augkopību, gan lopkopību. Nākamā izplatītākā nozare ir mazumtirdzniecība, tad seko dažādi pakalpojumi un citas nozares.</w:t>
      </w:r>
    </w:p>
    <w:p w:rsidR="000527A3" w:rsidRDefault="000527A3" w:rsidP="000527A3">
      <w:pPr>
        <w:spacing w:after="0" w:line="240" w:lineRule="auto"/>
        <w:ind w:firstLine="567"/>
        <w:jc w:val="both"/>
        <w:rPr>
          <w:rFonts w:ascii="Times New Roman" w:hAnsi="Times New Roman" w:cs="Times New Roman"/>
          <w:color w:val="FF0000"/>
          <w:sz w:val="20"/>
          <w:szCs w:val="20"/>
        </w:rPr>
      </w:pPr>
    </w:p>
    <w:p w:rsidR="000527A3" w:rsidRDefault="000527A3" w:rsidP="000527A3">
      <w:pPr>
        <w:spacing w:after="0" w:line="240" w:lineRule="auto"/>
        <w:ind w:firstLine="567"/>
        <w:jc w:val="center"/>
        <w:rPr>
          <w:rFonts w:ascii="Times New Roman" w:hAnsi="Times New Roman" w:cs="Times New Roman"/>
          <w:b/>
          <w:color w:val="FF0000"/>
          <w:sz w:val="24"/>
          <w:szCs w:val="24"/>
        </w:rPr>
      </w:pPr>
      <w:r>
        <w:rPr>
          <w:noProof/>
          <w:lang w:eastAsia="lv-LV"/>
        </w:rPr>
        <w:lastRenderedPageBreak/>
        <w:drawing>
          <wp:inline distT="0" distB="0" distL="0" distR="0">
            <wp:extent cx="4581525" cy="3067050"/>
            <wp:effectExtent l="0" t="0" r="9525"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Uzņēmējdarbības tiesiskās formas Viļakas novadā 2019.gadā</w:t>
      </w:r>
    </w:p>
    <w:p w:rsidR="000527A3" w:rsidRDefault="000527A3" w:rsidP="000527A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Avots: Lursoft</w:t>
      </w:r>
    </w:p>
    <w:p w:rsidR="000527A3" w:rsidRDefault="000527A3" w:rsidP="000527A3">
      <w:pPr>
        <w:spacing w:after="0" w:line="240" w:lineRule="auto"/>
        <w:ind w:firstLine="567"/>
        <w:jc w:val="right"/>
        <w:rPr>
          <w:rFonts w:ascii="Times New Roman" w:hAnsi="Times New Roman" w:cs="Times New Roman"/>
          <w:b/>
          <w:sz w:val="20"/>
          <w:szCs w:val="20"/>
        </w:rPr>
      </w:pP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BUDŽETS</w:t>
      </w:r>
    </w:p>
    <w:p w:rsidR="000527A3" w:rsidRDefault="000527A3" w:rsidP="000527A3">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rsidR="000527A3" w:rsidRDefault="000527A3" w:rsidP="000527A3">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Viļakas novada pašvaldības budžets 2020. gadam </w:t>
      </w:r>
      <w:r>
        <w:rPr>
          <w:rFonts w:ascii="Times New Roman" w:hAnsi="Times New Roman" w:cs="Times New Roman"/>
          <w:sz w:val="24"/>
          <w:szCs w:val="24"/>
        </w:rPr>
        <w:t>sastāv no pamatbudžeta un ziedojumu un dāvinājumu budžeta, ko veido attiecīgas ieņēmumu un izdevumu daļas. Pašvaldība ir ņēmusi vērā visu nozaru intereses un centusies sabalansēt pieejamos finanšu līdzekļus tā, lai nodrošinātu uzlabojumus sabiedrībai svarīgās jomās.</w:t>
      </w:r>
    </w:p>
    <w:p w:rsidR="000527A3" w:rsidRDefault="000527A3" w:rsidP="000527A3">
      <w:pPr>
        <w:spacing w:after="0" w:line="240" w:lineRule="auto"/>
        <w:ind w:firstLine="567"/>
        <w:jc w:val="both"/>
        <w:rPr>
          <w:rFonts w:ascii="Times New Roman" w:hAnsi="Times New Roman"/>
          <w:b/>
          <w:bCs/>
          <w:sz w:val="24"/>
          <w:szCs w:val="24"/>
          <w:highlight w:val="yellow"/>
        </w:rPr>
      </w:pPr>
      <w:r>
        <w:rPr>
          <w:rFonts w:ascii="Times New Roman" w:hAnsi="Times New Roman" w:cs="Times New Roman"/>
          <w:sz w:val="24"/>
          <w:szCs w:val="24"/>
        </w:rPr>
        <w:t xml:space="preserve">Viļakas novada pašvaldības budžets balstīts uz ilgtspējīgas attīstības stratēģiju līdz 2030.gadam, kurā atspoguļots pašvaldības ilgtermiņa redzējums, stratēģiskie mērķi un ilgtermiņa prioritātes un Viļakas novada attīstības programmu 2018. – 2024.gadam. Ir ņemtas vērā attīstības programmas stratēģisko mērķu prioritātes: </w:t>
      </w:r>
    </w:p>
    <w:p w:rsidR="000527A3" w:rsidRDefault="000527A3" w:rsidP="000527A3">
      <w:pPr>
        <w:spacing w:after="0" w:line="240" w:lineRule="auto"/>
        <w:jc w:val="both"/>
        <w:rPr>
          <w:rFonts w:ascii="Times New Roman" w:hAnsi="Times New Roman"/>
          <w:bCs/>
          <w:sz w:val="24"/>
          <w:szCs w:val="24"/>
        </w:rPr>
      </w:pPr>
      <w:r>
        <w:rPr>
          <w:rFonts w:ascii="Times New Roman" w:hAnsi="Times New Roman"/>
          <w:b/>
          <w:bCs/>
          <w:sz w:val="24"/>
          <w:szCs w:val="24"/>
        </w:rPr>
        <w:t xml:space="preserve">SM1 Efektīva pārvaldība un Cilvēkresursu attīstība </w:t>
      </w:r>
      <w:r>
        <w:rPr>
          <w:rFonts w:ascii="Times New Roman" w:hAnsi="Times New Roman"/>
          <w:bCs/>
          <w:sz w:val="24"/>
          <w:szCs w:val="24"/>
        </w:rPr>
        <w:t xml:space="preserve">– izglītībā, kultūrā, sportā, jauniešiem, veselības un sociālā aprūpe, sociālie pakalpojumi, </w:t>
      </w:r>
      <w:r>
        <w:rPr>
          <w:rFonts w:ascii="Times New Roman" w:hAnsi="Times New Roman"/>
          <w:sz w:val="24"/>
          <w:szCs w:val="24"/>
        </w:rPr>
        <w:t>sadarbības veidošana ar pašvaldībām, uzņēmējiem un sociālajiem partneriem</w:t>
      </w:r>
      <w:r>
        <w:rPr>
          <w:rFonts w:ascii="Times New Roman" w:hAnsi="Times New Roman"/>
          <w:bCs/>
          <w:sz w:val="24"/>
          <w:szCs w:val="24"/>
        </w:rPr>
        <w:t xml:space="preserve"> un efektīva pārvalde;</w:t>
      </w:r>
    </w:p>
    <w:p w:rsidR="000527A3" w:rsidRDefault="000527A3" w:rsidP="000527A3">
      <w:pPr>
        <w:pStyle w:val="Default"/>
        <w:jc w:val="both"/>
        <w:rPr>
          <w:rFonts w:ascii="Times New Roman" w:hAnsi="Times New Roman" w:cs="Times New Roman"/>
          <w:color w:val="auto"/>
          <w:lang w:val="lv-LV"/>
        </w:rPr>
      </w:pPr>
      <w:r>
        <w:rPr>
          <w:rFonts w:ascii="Times New Roman" w:hAnsi="Times New Roman" w:cs="Times New Roman"/>
          <w:b/>
          <w:bCs/>
          <w:color w:val="auto"/>
          <w:lang w:val="lv-LV"/>
        </w:rPr>
        <w:t>SM2 Novada savienojumi</w:t>
      </w:r>
      <w:r>
        <w:rPr>
          <w:rFonts w:ascii="Times New Roman" w:hAnsi="Times New Roman" w:cs="Times New Roman"/>
          <w:bCs/>
          <w:color w:val="auto"/>
          <w:lang w:val="lv-LV"/>
        </w:rPr>
        <w:t xml:space="preserve"> – komunālā saimniecība, </w:t>
      </w:r>
      <w:r>
        <w:rPr>
          <w:rFonts w:ascii="Times New Roman" w:hAnsi="Times New Roman" w:cs="Times New Roman"/>
          <w:color w:val="auto"/>
          <w:lang w:val="lv-LV"/>
        </w:rPr>
        <w:t>ceļu un publiskās infrastruktūras attīstība, teritorijas pievilcība paaugstināšana;</w:t>
      </w:r>
      <w:r>
        <w:rPr>
          <w:rFonts w:ascii="Times New Roman" w:hAnsi="Times New Roman" w:cs="Times New Roman"/>
          <w:bCs/>
          <w:color w:val="auto"/>
          <w:lang w:val="lv-LV"/>
        </w:rPr>
        <w:t xml:space="preserve"> </w:t>
      </w:r>
    </w:p>
    <w:p w:rsidR="000527A3" w:rsidRDefault="000527A3" w:rsidP="000527A3">
      <w:pPr>
        <w:spacing w:after="0" w:line="240" w:lineRule="auto"/>
        <w:jc w:val="both"/>
        <w:rPr>
          <w:rFonts w:ascii="Times New Roman" w:hAnsi="Times New Roman"/>
          <w:sz w:val="24"/>
          <w:szCs w:val="24"/>
        </w:rPr>
      </w:pPr>
      <w:r>
        <w:rPr>
          <w:rFonts w:ascii="Times New Roman" w:hAnsi="Times New Roman"/>
          <w:b/>
          <w:bCs/>
          <w:sz w:val="24"/>
          <w:szCs w:val="24"/>
        </w:rPr>
        <w:t xml:space="preserve">SM3 Rentabli uzņēmumi </w:t>
      </w:r>
      <w:r>
        <w:rPr>
          <w:rFonts w:ascii="Times New Roman" w:hAnsi="Times New Roman"/>
          <w:bCs/>
          <w:sz w:val="24"/>
          <w:szCs w:val="24"/>
        </w:rPr>
        <w:t xml:space="preserve">– tūrisma infrastruktūras, tūrisma produkta pakalpojuma papildināšana, </w:t>
      </w:r>
      <w:r>
        <w:rPr>
          <w:rFonts w:ascii="Times New Roman" w:hAnsi="Times New Roman"/>
          <w:sz w:val="24"/>
          <w:szCs w:val="24"/>
        </w:rPr>
        <w:t>uzņēmējdarbības un daudzveidīgas lauku teritoriju attīstības veicināšana.</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Skaitliskā informācija par budžeta ieņēmumiem, izdevumiem un atbilstība budžeta klasifikācijai ir norādīta Viļakas novada domes saistošo noteikumu „</w:t>
      </w:r>
      <w:r>
        <w:rPr>
          <w:rFonts w:ascii="Times New Roman" w:hAnsi="Times New Roman" w:cs="Times New Roman"/>
          <w:b/>
          <w:sz w:val="24"/>
          <w:szCs w:val="24"/>
        </w:rPr>
        <w:t xml:space="preserve"> Par Viļakas novada pašvaldības 2020. gada budžetu</w:t>
      </w:r>
      <w:r>
        <w:rPr>
          <w:rFonts w:ascii="Times New Roman" w:hAnsi="Times New Roman" w:cs="Times New Roman"/>
          <w:sz w:val="24"/>
          <w:szCs w:val="24"/>
        </w:rPr>
        <w:t>” pielikumos.</w:t>
      </w:r>
    </w:p>
    <w:p w:rsidR="000527A3" w:rsidRDefault="000527A3" w:rsidP="000527A3">
      <w:pPr>
        <w:spacing w:after="120"/>
        <w:ind w:firstLine="567"/>
        <w:jc w:val="center"/>
        <w:rPr>
          <w:rFonts w:ascii="Times New Roman" w:hAnsi="Times New Roman" w:cs="Times New Roman"/>
          <w:b/>
          <w:sz w:val="24"/>
          <w:szCs w:val="24"/>
        </w:rPr>
      </w:pPr>
    </w:p>
    <w:p w:rsidR="000527A3" w:rsidRDefault="000527A3" w:rsidP="000527A3">
      <w:pPr>
        <w:spacing w:after="120"/>
        <w:ind w:firstLine="567"/>
        <w:jc w:val="center"/>
        <w:rPr>
          <w:rFonts w:ascii="Times New Roman" w:hAnsi="Times New Roman" w:cs="Times New Roman"/>
          <w:b/>
          <w:sz w:val="24"/>
          <w:szCs w:val="24"/>
        </w:rPr>
      </w:pPr>
      <w:r>
        <w:rPr>
          <w:rFonts w:ascii="Times New Roman" w:hAnsi="Times New Roman" w:cs="Times New Roman"/>
          <w:b/>
          <w:sz w:val="24"/>
          <w:szCs w:val="24"/>
        </w:rPr>
        <w:t>PAMATBUDŽETS</w:t>
      </w:r>
    </w:p>
    <w:p w:rsidR="000527A3" w:rsidRDefault="000527A3" w:rsidP="000527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Ieņēmumi</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Budžeta ieņēmumi plānoti</w:t>
      </w:r>
      <w:r>
        <w:rPr>
          <w:rFonts w:ascii="Times New Roman" w:hAnsi="Times New Roman" w:cs="Times New Roman"/>
          <w:b/>
          <w:sz w:val="24"/>
          <w:szCs w:val="24"/>
        </w:rPr>
        <w:t xml:space="preserve"> EUR </w:t>
      </w:r>
      <w:r>
        <w:rPr>
          <w:rFonts w:ascii="Times New Roman" w:hAnsi="Times New Roman" w:cs="Times New Roman"/>
          <w:b/>
          <w:bCs/>
          <w:sz w:val="24"/>
          <w:szCs w:val="24"/>
          <w:lang w:eastAsia="lv-LV"/>
        </w:rPr>
        <w:t xml:space="preserve">6 805 510 </w:t>
      </w:r>
      <w:r>
        <w:rPr>
          <w:rFonts w:ascii="Times New Roman" w:hAnsi="Times New Roman" w:cs="Times New Roman"/>
          <w:bCs/>
          <w:sz w:val="24"/>
          <w:szCs w:val="24"/>
          <w:lang w:eastAsia="lv-LV"/>
        </w:rPr>
        <w:t>kopsummā</w:t>
      </w:r>
      <w:r>
        <w:rPr>
          <w:rFonts w:ascii="Times New Roman" w:hAnsi="Times New Roman" w:cs="Times New Roman"/>
          <w:bCs/>
          <w:sz w:val="24"/>
          <w:szCs w:val="24"/>
        </w:rPr>
        <w:t xml:space="preserve"> un tos veido </w:t>
      </w:r>
      <w:r>
        <w:rPr>
          <w:rFonts w:ascii="Times New Roman" w:hAnsi="Times New Roman" w:cs="Times New Roman"/>
          <w:sz w:val="24"/>
          <w:szCs w:val="24"/>
        </w:rPr>
        <w:t xml:space="preserve">nodokļu ieņēmumi,  </w:t>
      </w:r>
      <w:proofErr w:type="spellStart"/>
      <w:r>
        <w:rPr>
          <w:rFonts w:ascii="Times New Roman" w:hAnsi="Times New Roman" w:cs="Times New Roman"/>
          <w:sz w:val="24"/>
          <w:szCs w:val="24"/>
        </w:rPr>
        <w:t>nenodokļu</w:t>
      </w:r>
      <w:proofErr w:type="spellEnd"/>
      <w:r>
        <w:rPr>
          <w:rFonts w:ascii="Times New Roman" w:hAnsi="Times New Roman" w:cs="Times New Roman"/>
          <w:sz w:val="24"/>
          <w:szCs w:val="24"/>
        </w:rPr>
        <w:t xml:space="preserve"> ieņēmumi (no uzņēmējdarbības, nodevām, sodiem un sankcijām), pārējie </w:t>
      </w:r>
      <w:proofErr w:type="spellStart"/>
      <w:r>
        <w:rPr>
          <w:rFonts w:ascii="Times New Roman" w:hAnsi="Times New Roman" w:cs="Times New Roman"/>
          <w:sz w:val="24"/>
          <w:szCs w:val="24"/>
        </w:rPr>
        <w:t>nenodokļu</w:t>
      </w:r>
      <w:proofErr w:type="spellEnd"/>
      <w:r>
        <w:rPr>
          <w:rFonts w:ascii="Times New Roman" w:hAnsi="Times New Roman" w:cs="Times New Roman"/>
          <w:sz w:val="24"/>
          <w:szCs w:val="24"/>
        </w:rPr>
        <w:t xml:space="preserve"> ieņēmumi (no pašvaldības īpašuma iznomāšanas, </w:t>
      </w:r>
      <w:r>
        <w:rPr>
          <w:rFonts w:ascii="Times New Roman" w:hAnsi="Times New Roman" w:cs="Times New Roman"/>
          <w:sz w:val="24"/>
          <w:szCs w:val="24"/>
        </w:rPr>
        <w:lastRenderedPageBreak/>
        <w:t xml:space="preserve">pārdošanas un no nodokļu pamatparāda kapitalizācijas), ieņēmumi no iestāžu sniegtajiem maksas pakalpojumiem un citi pašu ieņēmumi, kā arī </w:t>
      </w:r>
      <w:proofErr w:type="spellStart"/>
      <w:r>
        <w:rPr>
          <w:rFonts w:ascii="Times New Roman" w:hAnsi="Times New Roman" w:cs="Times New Roman"/>
          <w:sz w:val="24"/>
          <w:szCs w:val="24"/>
        </w:rPr>
        <w:t>transferti</w:t>
      </w:r>
      <w:proofErr w:type="spellEnd"/>
      <w:r>
        <w:rPr>
          <w:rFonts w:ascii="Times New Roman" w:hAnsi="Times New Roman" w:cs="Times New Roman"/>
          <w:sz w:val="24"/>
          <w:szCs w:val="24"/>
        </w:rPr>
        <w:t xml:space="preserve"> (mērķdotācijas, kas tiek saņemtas no atsevišķām ministrijām un pašvaldībām un paredzētas galvenokārt pedagogu darba samaksai, kā arī ES fondu finansēto projektu īstenošanai un pašvaldību maksājumiem par izglītības pakalpojumiem). </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Pašvaldības pamatbudžeta kontu atlikums uz 2020.gada 1.janvāri - </w:t>
      </w:r>
      <w:r>
        <w:rPr>
          <w:rFonts w:ascii="Times New Roman" w:hAnsi="Times New Roman" w:cs="Times New Roman"/>
          <w:b/>
          <w:bCs/>
          <w:sz w:val="24"/>
          <w:szCs w:val="24"/>
        </w:rPr>
        <w:t>EUR 811 859</w:t>
      </w:r>
      <w:r>
        <w:rPr>
          <w:rFonts w:ascii="Times New Roman" w:hAnsi="Times New Roman" w:cs="Times New Roman"/>
          <w:bCs/>
          <w:sz w:val="24"/>
          <w:szCs w:val="24"/>
        </w:rPr>
        <w:t xml:space="preserve"> </w:t>
      </w:r>
    </w:p>
    <w:p w:rsidR="000527A3" w:rsidRDefault="000527A3" w:rsidP="000527A3">
      <w:pPr>
        <w:spacing w:after="0" w:line="240" w:lineRule="auto"/>
        <w:ind w:firstLine="567"/>
        <w:jc w:val="both"/>
        <w:rPr>
          <w:rFonts w:ascii="Times New Roman" w:hAnsi="Times New Roman" w:cs="Times New Roman"/>
          <w:bCs/>
          <w:sz w:val="24"/>
          <w:szCs w:val="24"/>
        </w:rPr>
      </w:pPr>
    </w:p>
    <w:p w:rsidR="000527A3" w:rsidRDefault="000527A3" w:rsidP="000527A3">
      <w:pPr>
        <w:spacing w:after="0" w:line="240" w:lineRule="auto"/>
        <w:ind w:firstLine="567"/>
        <w:jc w:val="center"/>
        <w:rPr>
          <w:rFonts w:ascii="Times New Roman" w:hAnsi="Times New Roman" w:cs="Times New Roman"/>
          <w:bCs/>
          <w:color w:val="FF0000"/>
          <w:sz w:val="24"/>
          <w:szCs w:val="24"/>
        </w:rPr>
      </w:pPr>
      <w:r>
        <w:rPr>
          <w:noProof/>
          <w:lang w:eastAsia="lv-LV"/>
        </w:rPr>
        <w:drawing>
          <wp:inline distT="0" distB="0" distL="0" distR="0">
            <wp:extent cx="5953125" cy="3124200"/>
            <wp:effectExtent l="0" t="0" r="9525"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27A3" w:rsidRDefault="000527A3" w:rsidP="000527A3">
      <w:pPr>
        <w:spacing w:after="120"/>
        <w:ind w:firstLine="567"/>
        <w:jc w:val="center"/>
        <w:rPr>
          <w:rFonts w:ascii="Times New Roman" w:hAnsi="Times New Roman" w:cs="Times New Roman"/>
          <w:b/>
          <w:bCs/>
          <w:sz w:val="24"/>
          <w:szCs w:val="24"/>
        </w:rPr>
      </w:pPr>
      <w:r>
        <w:rPr>
          <w:rFonts w:ascii="Times New Roman" w:hAnsi="Times New Roman" w:cs="Times New Roman"/>
          <w:b/>
          <w:bCs/>
          <w:sz w:val="24"/>
          <w:szCs w:val="24"/>
        </w:rPr>
        <w:t>Viļakas novada pašvaldības plānotā ieņēmumu struktūra 2020.gadā</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Iedzīvotāju ienākuma nodokļa (IIN) prognoze ir EUR 1 731 534, kas ir </w:t>
      </w:r>
      <w:r>
        <w:rPr>
          <w:rFonts w:ascii="Times New Roman" w:hAnsi="Times New Roman" w:cs="Times New Roman"/>
          <w:sz w:val="24"/>
          <w:szCs w:val="24"/>
        </w:rPr>
        <w:t>par EUR 158160 jeb 8.372% mazāk nekā 2019. gadā tika plānots.  IIN no kopējiem ieņēmumiem sastāda 25.44%.</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bCs/>
          <w:sz w:val="24"/>
          <w:szCs w:val="24"/>
        </w:rPr>
        <w:t xml:space="preserve">Nekustamā īpašuma nodokļa (NĪN) prognoze - EUR 262 469, kas ir </w:t>
      </w:r>
      <w:r>
        <w:rPr>
          <w:rFonts w:ascii="Times New Roman" w:hAnsi="Times New Roman" w:cs="Times New Roman"/>
          <w:sz w:val="24"/>
          <w:szCs w:val="24"/>
        </w:rPr>
        <w:t xml:space="preserve">par EUR 5500 jeb 2.14 % vairāk nekā 2019. gada sākumā ieplānots. NĪN no kopējiem ieņēmumiem sastāda 3.86%.  </w:t>
      </w:r>
      <w:r>
        <w:rPr>
          <w:rFonts w:ascii="Times New Roman" w:eastAsia="Calibri" w:hAnsi="Times New Roman" w:cs="Times New Roman"/>
          <w:sz w:val="24"/>
          <w:szCs w:val="24"/>
        </w:rPr>
        <w:t xml:space="preserve">Nodokļa atvieglojumi vēl joprojām piemēroti trūcīgām ģimenēm, maznodrošinātām personām, </w:t>
      </w:r>
      <w:proofErr w:type="spellStart"/>
      <w:r>
        <w:rPr>
          <w:rFonts w:ascii="Times New Roman" w:eastAsia="Calibri" w:hAnsi="Times New Roman" w:cs="Times New Roman"/>
          <w:sz w:val="24"/>
          <w:szCs w:val="24"/>
        </w:rPr>
        <w:t>daudzbērnu</w:t>
      </w:r>
      <w:proofErr w:type="spellEnd"/>
      <w:r>
        <w:rPr>
          <w:rFonts w:ascii="Times New Roman" w:eastAsia="Calibri" w:hAnsi="Times New Roman" w:cs="Times New Roman"/>
          <w:sz w:val="24"/>
          <w:szCs w:val="24"/>
        </w:rPr>
        <w:t xml:space="preserve"> ģimenēm.</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Pr>
          <w:rFonts w:ascii="Times New Roman" w:hAnsi="Times New Roman" w:cs="Times New Roman"/>
          <w:bCs/>
          <w:sz w:val="24"/>
          <w:szCs w:val="24"/>
        </w:rPr>
        <w:t xml:space="preserve">Valsts budžeta </w:t>
      </w:r>
      <w:proofErr w:type="spellStart"/>
      <w:r>
        <w:rPr>
          <w:rFonts w:ascii="Times New Roman" w:hAnsi="Times New Roman" w:cs="Times New Roman"/>
          <w:bCs/>
          <w:sz w:val="24"/>
          <w:szCs w:val="24"/>
        </w:rPr>
        <w:t>transferti</w:t>
      </w:r>
      <w:proofErr w:type="spellEnd"/>
      <w:r>
        <w:rPr>
          <w:rFonts w:ascii="Times New Roman" w:hAnsi="Times New Roman" w:cs="Times New Roman"/>
          <w:bCs/>
          <w:sz w:val="24"/>
          <w:szCs w:val="24"/>
        </w:rPr>
        <w:t xml:space="preserve"> tiek plānoti EUR 3 971 192, kas ir par EUR 85 854 jeb 2.12% mazāk nekā </w:t>
      </w:r>
      <w:r>
        <w:rPr>
          <w:rFonts w:ascii="Times New Roman" w:hAnsi="Times New Roman" w:cs="Times New Roman"/>
          <w:sz w:val="24"/>
          <w:szCs w:val="24"/>
        </w:rPr>
        <w:t>2019. gada sākumā tika ieplānots. Šie ieņēmumi no kopējiem ieņēmumiem sastāda 58.35%. Tajā skaitā v</w:t>
      </w:r>
      <w:r>
        <w:rPr>
          <w:rFonts w:ascii="Times New Roman" w:hAnsi="Times New Roman" w:cs="Times New Roman"/>
          <w:bCs/>
          <w:sz w:val="24"/>
          <w:szCs w:val="24"/>
        </w:rPr>
        <w:t>alsts mērķdotācija pedagogu un treneru darba samaksai un darba devēja valsts sociālās apdrošināšanas obligātajām iemaksām ir plānota EUR 690 634 apmērā.</w:t>
      </w:r>
      <w:r>
        <w:rPr>
          <w:rFonts w:ascii="Times New Roman" w:hAnsi="Times New Roman" w:cs="Times New Roman"/>
          <w:sz w:val="24"/>
          <w:szCs w:val="24"/>
        </w:rPr>
        <w:t xml:space="preserve"> </w:t>
      </w:r>
      <w:r>
        <w:rPr>
          <w:rFonts w:ascii="Times New Roman" w:hAnsi="Times New Roman" w:cs="Times New Roman"/>
          <w:bCs/>
          <w:sz w:val="24"/>
          <w:szCs w:val="24"/>
        </w:rPr>
        <w:t xml:space="preserve"> Mērķdotācija mācību grāmatu un līdzekļu iegādei  tiek plānota EUR 9 069 apmērā, mērķdotācija brīvpusdienu nodrošināšanai 1.-4.klases skolēniem - EUR 15 477 apmērā, </w:t>
      </w:r>
      <w:r>
        <w:rPr>
          <w:rFonts w:ascii="Times New Roman" w:eastAsia="Calibri" w:hAnsi="Times New Roman" w:cs="Times New Roman"/>
          <w:sz w:val="24"/>
          <w:szCs w:val="24"/>
        </w:rPr>
        <w:t>mērķdotācija asistenta pakalpojumu nodrošināšanai no  Labklājības ministrijas - EUR 19 509 apmērā, mērķdotācija feldšeru un veselības punktu uzturēšanai - EUR 16 697 apmērā, mērķdotācija tautas mākslas kolektīvu vadītāju darba samaksai - EUR 8 337 apmērā, pārējās dotācijas - EUR 132 816.</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Mērķdotācija pašvaldību autoceļu un ielu uzturēšanai – EUR 248 288. Pašvaldību no valsts budžeta iestādēm saņemtie </w:t>
      </w:r>
      <w:proofErr w:type="spellStart"/>
      <w:r>
        <w:rPr>
          <w:rFonts w:ascii="Times New Roman" w:eastAsia="Calibri" w:hAnsi="Times New Roman" w:cs="Times New Roman"/>
          <w:sz w:val="24"/>
          <w:szCs w:val="24"/>
        </w:rPr>
        <w:t>transferti</w:t>
      </w:r>
      <w:proofErr w:type="spellEnd"/>
      <w:r>
        <w:rPr>
          <w:rFonts w:ascii="Times New Roman" w:eastAsia="Calibri" w:hAnsi="Times New Roman" w:cs="Times New Roman"/>
          <w:sz w:val="24"/>
          <w:szCs w:val="24"/>
        </w:rPr>
        <w:t xml:space="preserve"> Eiropas Savienības politiku instrumentu un pārējās ārvalstu finanšu palīdzības līdzfinansētajiem projektiem –EUR  936 736.</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Pašvaldību budžetā saņemtā dotācija no pašvaldību izlīdzināšanas fonda 1 893 629 apmērā, kas ir par 19.45%  vairāk </w:t>
      </w:r>
      <w:r>
        <w:rPr>
          <w:rFonts w:ascii="Times New Roman" w:hAnsi="Times New Roman" w:cs="Times New Roman"/>
          <w:bCs/>
          <w:sz w:val="24"/>
          <w:szCs w:val="24"/>
        </w:rPr>
        <w:t xml:space="preserve">nekā </w:t>
      </w:r>
      <w:r>
        <w:rPr>
          <w:rFonts w:ascii="Times New Roman" w:hAnsi="Times New Roman" w:cs="Times New Roman"/>
          <w:sz w:val="24"/>
          <w:szCs w:val="24"/>
        </w:rPr>
        <w:t xml:space="preserve">2019.gada sākumā tika ieplānots.  </w:t>
      </w:r>
    </w:p>
    <w:p w:rsidR="000527A3" w:rsidRDefault="000527A3" w:rsidP="000527A3">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Pašvaldību budžeta </w:t>
      </w:r>
      <w:proofErr w:type="spellStart"/>
      <w:r>
        <w:rPr>
          <w:rFonts w:ascii="Times New Roman" w:eastAsia="Calibri" w:hAnsi="Times New Roman" w:cs="Times New Roman"/>
          <w:sz w:val="24"/>
          <w:szCs w:val="24"/>
        </w:rPr>
        <w:t>transferti</w:t>
      </w:r>
      <w:proofErr w:type="spellEnd"/>
      <w:r>
        <w:rPr>
          <w:rFonts w:ascii="Times New Roman" w:eastAsia="Calibri" w:hAnsi="Times New Roman" w:cs="Times New Roman"/>
          <w:sz w:val="24"/>
          <w:szCs w:val="24"/>
        </w:rPr>
        <w:t xml:space="preserve"> tiek plānoti EUR 125 261 apmērā, kas ir par EUR 52 400 jeb 2.38% </w:t>
      </w:r>
      <w:r>
        <w:rPr>
          <w:rFonts w:ascii="Times New Roman" w:hAnsi="Times New Roman" w:cs="Times New Roman"/>
          <w:bCs/>
          <w:sz w:val="24"/>
          <w:szCs w:val="24"/>
        </w:rPr>
        <w:t xml:space="preserve">mazāk nekā </w:t>
      </w:r>
      <w:r>
        <w:rPr>
          <w:rFonts w:ascii="Times New Roman" w:hAnsi="Times New Roman" w:cs="Times New Roman"/>
          <w:sz w:val="24"/>
          <w:szCs w:val="24"/>
        </w:rPr>
        <w:t xml:space="preserve">2019. gada sākumā tika ieplānots.  Šie </w:t>
      </w:r>
      <w:proofErr w:type="spellStart"/>
      <w:r>
        <w:rPr>
          <w:rFonts w:ascii="Times New Roman" w:hAnsi="Times New Roman" w:cs="Times New Roman"/>
          <w:sz w:val="24"/>
          <w:szCs w:val="24"/>
        </w:rPr>
        <w:t>transferti</w:t>
      </w:r>
      <w:proofErr w:type="spellEnd"/>
      <w:r>
        <w:rPr>
          <w:rFonts w:ascii="Times New Roman" w:hAnsi="Times New Roman" w:cs="Times New Roman"/>
          <w:sz w:val="24"/>
          <w:szCs w:val="24"/>
        </w:rPr>
        <w:t xml:space="preserve"> no kopējiem ieņēmumiem sastāda 1.84%.</w:t>
      </w:r>
    </w:p>
    <w:p w:rsidR="000527A3" w:rsidRDefault="000527A3" w:rsidP="000527A3">
      <w:pPr>
        <w:spacing w:after="0" w:line="240" w:lineRule="auto"/>
        <w:ind w:firstLine="567"/>
        <w:jc w:val="both"/>
        <w:rPr>
          <w:rFonts w:ascii="Times New Roman" w:hAnsi="Times New Roman" w:cs="Times New Roman"/>
          <w:b/>
          <w:sz w:val="24"/>
          <w:szCs w:val="24"/>
        </w:rPr>
      </w:pPr>
      <w:r>
        <w:rPr>
          <w:rFonts w:ascii="Times New Roman" w:hAnsi="Times New Roman" w:cs="Times New Roman"/>
          <w:bCs/>
          <w:sz w:val="24"/>
          <w:szCs w:val="24"/>
        </w:rPr>
        <w:t>Pārējos ieņēmumus EUR 91 730 apmērā veido valsts un pašvaldības nodevas, naudas sodi un sankcijas, kā arī ieņēmumi no pašvaldības īpašuma pārdošanas.</w:t>
      </w:r>
    </w:p>
    <w:p w:rsidR="000527A3" w:rsidRDefault="000527A3" w:rsidP="000527A3">
      <w:pPr>
        <w:spacing w:after="0" w:line="240" w:lineRule="auto"/>
        <w:ind w:firstLine="567"/>
        <w:jc w:val="both"/>
        <w:rPr>
          <w:rFonts w:ascii="Times New Roman" w:hAnsi="Times New Roman" w:cs="Times New Roman"/>
          <w:bCs/>
          <w:color w:val="FF0000"/>
          <w:sz w:val="24"/>
          <w:szCs w:val="24"/>
        </w:rPr>
      </w:pPr>
      <w:r>
        <w:rPr>
          <w:rFonts w:ascii="Times New Roman" w:hAnsi="Times New Roman" w:cs="Times New Roman"/>
          <w:bCs/>
          <w:sz w:val="24"/>
          <w:szCs w:val="24"/>
        </w:rPr>
        <w:t xml:space="preserve">Budžeta iestāžu ieņēmumi par maksas pakalpojumiem un citiem pašu ieņēmumiem tiek plānoti EUR 623 324 apmērā, kas ir par EUR 106 670 jeb 20.65% vairāk nekā </w:t>
      </w:r>
      <w:r>
        <w:rPr>
          <w:rFonts w:ascii="Times New Roman" w:hAnsi="Times New Roman" w:cs="Times New Roman"/>
          <w:sz w:val="24"/>
          <w:szCs w:val="24"/>
        </w:rPr>
        <w:t>2019. gada sākumā tika ieplānots.</w:t>
      </w:r>
      <w:r>
        <w:t xml:space="preserve"> </w:t>
      </w:r>
      <w:r>
        <w:rPr>
          <w:rFonts w:ascii="Times New Roman" w:hAnsi="Times New Roman" w:cs="Times New Roman"/>
          <w:sz w:val="24"/>
          <w:szCs w:val="24"/>
        </w:rPr>
        <w:t xml:space="preserve">Iepriekš minētie ieņēmumi no kopējiem ieņēmumiem sastāda 9.16%. Šos ieņēmumus </w:t>
      </w:r>
      <w:r>
        <w:rPr>
          <w:rFonts w:ascii="Times New Roman" w:hAnsi="Times New Roman" w:cs="Times New Roman"/>
          <w:bCs/>
          <w:sz w:val="24"/>
          <w:szCs w:val="24"/>
        </w:rPr>
        <w:t xml:space="preserve">veido maksa par izglītības pakalpojumiem EUR 18 160, ieņēmumi par nomu un īri EUR 60 721, </w:t>
      </w:r>
      <w:proofErr w:type="spellStart"/>
      <w:r>
        <w:rPr>
          <w:rFonts w:ascii="Times New Roman" w:hAnsi="Times New Roman" w:cs="Times New Roman"/>
          <w:bCs/>
          <w:sz w:val="24"/>
          <w:szCs w:val="24"/>
        </w:rPr>
        <w:t>tsk</w:t>
      </w:r>
      <w:proofErr w:type="spellEnd"/>
      <w:r>
        <w:rPr>
          <w:rFonts w:ascii="Times New Roman" w:hAnsi="Times New Roman" w:cs="Times New Roman"/>
          <w:bCs/>
          <w:sz w:val="24"/>
          <w:szCs w:val="24"/>
        </w:rPr>
        <w:t>. ieņēmumi par zemes nomu EUR 19 969, ieņēmumi par pārējiem budžeta iestāžu sniegtajiem maksas pakalpojumiem EUR 501 710 un citi maksas pakalpojumi tiek plānoti EUR 29 958 apmērā.</w:t>
      </w:r>
    </w:p>
    <w:p w:rsidR="000527A3" w:rsidRDefault="000527A3" w:rsidP="000527A3">
      <w:pPr>
        <w:spacing w:after="120"/>
        <w:ind w:firstLine="567"/>
        <w:jc w:val="center"/>
        <w:rPr>
          <w:rFonts w:ascii="Times New Roman" w:hAnsi="Times New Roman" w:cs="Times New Roman"/>
          <w:b/>
          <w:sz w:val="24"/>
          <w:szCs w:val="24"/>
        </w:rPr>
      </w:pPr>
      <w:r>
        <w:rPr>
          <w:rFonts w:ascii="Times New Roman" w:hAnsi="Times New Roman" w:cs="Times New Roman"/>
          <w:b/>
          <w:bCs/>
          <w:sz w:val="24"/>
          <w:szCs w:val="24"/>
        </w:rPr>
        <w:t>Izdevumi</w:t>
      </w:r>
    </w:p>
    <w:p w:rsidR="000527A3" w:rsidRDefault="000527A3" w:rsidP="000527A3">
      <w:pPr>
        <w:spacing w:after="120"/>
        <w:ind w:firstLine="567"/>
        <w:jc w:val="both"/>
        <w:rPr>
          <w:rFonts w:ascii="Times New Roman" w:hAnsi="Times New Roman" w:cs="Times New Roman"/>
          <w:bCs/>
          <w:sz w:val="24"/>
          <w:szCs w:val="24"/>
        </w:rPr>
      </w:pPr>
      <w:r>
        <w:rPr>
          <w:rFonts w:ascii="Times New Roman" w:hAnsi="Times New Roman" w:cs="Times New Roman"/>
          <w:sz w:val="24"/>
          <w:szCs w:val="24"/>
        </w:rPr>
        <w:t>Budžeta izdevumi plānoti</w:t>
      </w:r>
      <w:r w:rsidR="00DB0AF5">
        <w:rPr>
          <w:rFonts w:ascii="Times New Roman" w:hAnsi="Times New Roman" w:cs="Times New Roman"/>
          <w:b/>
          <w:sz w:val="24"/>
          <w:szCs w:val="24"/>
        </w:rPr>
        <w:t xml:space="preserve"> EUR 8 522 321</w:t>
      </w:r>
      <w:r>
        <w:rPr>
          <w:rFonts w:ascii="Times New Roman" w:hAnsi="Times New Roman" w:cs="Times New Roman"/>
          <w:b/>
          <w:sz w:val="24"/>
          <w:szCs w:val="24"/>
        </w:rPr>
        <w:t xml:space="preserve"> </w:t>
      </w:r>
      <w:r>
        <w:rPr>
          <w:rFonts w:ascii="Times New Roman" w:hAnsi="Times New Roman" w:cs="Times New Roman"/>
          <w:sz w:val="24"/>
          <w:szCs w:val="24"/>
        </w:rPr>
        <w:t>apmērā</w:t>
      </w:r>
      <w:r>
        <w:rPr>
          <w:rFonts w:ascii="Times New Roman" w:hAnsi="Times New Roman" w:cs="Times New Roman"/>
          <w:b/>
          <w:bCs/>
          <w:sz w:val="24"/>
          <w:szCs w:val="24"/>
        </w:rPr>
        <w:t xml:space="preserve"> </w:t>
      </w:r>
      <w:r>
        <w:rPr>
          <w:rFonts w:ascii="Times New Roman" w:hAnsi="Times New Roman" w:cs="Times New Roman"/>
          <w:sz w:val="24"/>
          <w:szCs w:val="24"/>
        </w:rPr>
        <w:t>(neieskaitot Valsts kases aizņēmumu pamatsummas atmaksas)</w:t>
      </w:r>
      <w:r>
        <w:rPr>
          <w:rFonts w:ascii="Times New Roman" w:hAnsi="Times New Roman" w:cs="Times New Roman"/>
          <w:bCs/>
          <w:sz w:val="24"/>
          <w:szCs w:val="24"/>
        </w:rPr>
        <w:t>.</w:t>
      </w:r>
    </w:p>
    <w:p w:rsidR="000527A3" w:rsidRDefault="000527A3" w:rsidP="000527A3">
      <w:pPr>
        <w:spacing w:after="120"/>
        <w:ind w:firstLine="567"/>
        <w:jc w:val="center"/>
        <w:rPr>
          <w:rFonts w:ascii="Times New Roman" w:hAnsi="Times New Roman" w:cs="Times New Roman"/>
          <w:bCs/>
          <w:color w:val="FF0000"/>
          <w:sz w:val="24"/>
          <w:szCs w:val="24"/>
        </w:rPr>
      </w:pPr>
      <w:r>
        <w:rPr>
          <w:noProof/>
          <w:lang w:eastAsia="lv-LV"/>
        </w:rPr>
        <w:drawing>
          <wp:inline distT="0" distB="0" distL="0" distR="0">
            <wp:extent cx="5953125" cy="3248025"/>
            <wp:effectExtent l="0" t="0" r="9525" b="952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27A3" w:rsidRDefault="000527A3" w:rsidP="000527A3">
      <w:pPr>
        <w:spacing w:after="120"/>
        <w:ind w:firstLine="567"/>
        <w:jc w:val="center"/>
        <w:rPr>
          <w:rFonts w:ascii="Times New Roman" w:hAnsi="Times New Roman" w:cs="Times New Roman"/>
          <w:b/>
          <w:bCs/>
          <w:sz w:val="24"/>
          <w:szCs w:val="24"/>
        </w:rPr>
      </w:pPr>
      <w:r>
        <w:rPr>
          <w:rFonts w:ascii="Times New Roman" w:hAnsi="Times New Roman" w:cs="Times New Roman"/>
          <w:b/>
          <w:bCs/>
          <w:sz w:val="24"/>
          <w:szCs w:val="24"/>
        </w:rPr>
        <w:t>Viļakas novada pašvaldības plānotā izdevumu struktūra 2020.gadā</w:t>
      </w:r>
    </w:p>
    <w:p w:rsidR="000527A3" w:rsidRDefault="000527A3" w:rsidP="000527A3">
      <w:pPr>
        <w:spacing w:after="0" w:line="240" w:lineRule="auto"/>
        <w:ind w:firstLine="567"/>
        <w:jc w:val="both"/>
        <w:rPr>
          <w:rFonts w:ascii="Times New Roman" w:hAnsi="Times New Roman" w:cs="Times New Roman"/>
          <w:b/>
          <w:bCs/>
          <w:sz w:val="24"/>
          <w:szCs w:val="24"/>
        </w:rPr>
      </w:pP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Vispārējie valdības dienesti</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Izdevumi plānoti EUR 825 050 apmērā. </w:t>
      </w:r>
      <w:r>
        <w:rPr>
          <w:rFonts w:ascii="Times New Roman" w:hAnsi="Times New Roman" w:cs="Times New Roman"/>
          <w:sz w:val="24"/>
          <w:szCs w:val="24"/>
        </w:rPr>
        <w:t xml:space="preserve">Šis izdevumu veids no kopējiem izdevumiem sastāda 9.68%. 2018.gadā šie izdevumi sastādīja 10.11%. </w:t>
      </w:r>
      <w:r>
        <w:rPr>
          <w:rFonts w:ascii="Times New Roman" w:hAnsi="Times New Roman" w:cs="Times New Roman"/>
          <w:bCs/>
          <w:sz w:val="24"/>
          <w:szCs w:val="24"/>
        </w:rPr>
        <w:t xml:space="preserve"> Šie izdevumi paredzēti pašvaldības darbības nodrošināšanai, finanšu vadībai un klientu apkalpošanai, kā arī pašvaldību vēlēšanu nodrošināšanai t.sk.:</w:t>
      </w:r>
    </w:p>
    <w:p w:rsidR="000527A3" w:rsidRDefault="000527A3" w:rsidP="000527A3">
      <w:pPr>
        <w:numPr>
          <w:ilvl w:val="0"/>
          <w:numId w:val="1"/>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t>domei un pārvaldēm EUR 799 128;</w:t>
      </w:r>
    </w:p>
    <w:p w:rsidR="000527A3" w:rsidRDefault="000527A3" w:rsidP="000527A3">
      <w:pPr>
        <w:numPr>
          <w:ilvl w:val="0"/>
          <w:numId w:val="1"/>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t>aizņēmumu apkalpošanai un procentu maksājumiem Valsts kasei EUR 14 800 ;</w:t>
      </w:r>
    </w:p>
    <w:p w:rsidR="000527A3" w:rsidRDefault="000527A3" w:rsidP="000527A3">
      <w:pPr>
        <w:numPr>
          <w:ilvl w:val="0"/>
          <w:numId w:val="1"/>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t>komisiju darba atalgojumam EUR 7850;</w:t>
      </w:r>
    </w:p>
    <w:p w:rsidR="000527A3" w:rsidRDefault="000527A3" w:rsidP="000527A3">
      <w:pPr>
        <w:numPr>
          <w:ilvl w:val="0"/>
          <w:numId w:val="1"/>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t>pabalstiem, kurus izmaksā pašvaldību bijušajiem priekšsēdētājiem un to vietniekiem EUR 73 644.</w:t>
      </w:r>
    </w:p>
    <w:p w:rsidR="000527A3" w:rsidRDefault="000527A3" w:rsidP="000527A3">
      <w:pPr>
        <w:numPr>
          <w:ilvl w:val="0"/>
          <w:numId w:val="1"/>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Vēlēšanu komisijai EUR 3272.</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Izvērtējot budžeta iespējas un lai pašvaldības darbinieku algas būtu konkurēt spējīgas, tās tika paaugstinātas vidēji par 10%.</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Sabiedriskās attiecības</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Sabiedrisko attiecību veidošanai, iedzīvotāju informēšanai,  interneta mājaslapas, laikraksta, kā arī domes reprezentatīvajie</w:t>
      </w:r>
      <w:r w:rsidR="00DB0AF5">
        <w:rPr>
          <w:rFonts w:ascii="Times New Roman" w:hAnsi="Times New Roman" w:cs="Times New Roman"/>
          <w:bCs/>
          <w:sz w:val="24"/>
          <w:szCs w:val="24"/>
        </w:rPr>
        <w:t>m izdevumiem plānoti  EUR 23 065</w:t>
      </w:r>
      <w:r>
        <w:rPr>
          <w:rFonts w:ascii="Times New Roman" w:hAnsi="Times New Roman" w:cs="Times New Roman"/>
          <w:bCs/>
          <w:sz w:val="24"/>
          <w:szCs w:val="24"/>
        </w:rPr>
        <w:t>.</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Sabiedriskā kārtība un drošība</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Lai sekmētu un pilnveidotu sabiedrisko kārtību un drošību Viļakas novada dome ir nodibinājusi pašvaldības policiju. Šai aktivitātei budžetā atvēlēti EUR 23 065, kas ir par EUR 4859 mazāk nekā 2019.gada sākumā tika ieplānots.</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Ekonomiskā darbība</w:t>
      </w:r>
    </w:p>
    <w:p w:rsidR="000527A3" w:rsidRDefault="000527A3" w:rsidP="000527A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Izd</w:t>
      </w:r>
      <w:r w:rsidR="00DB0AF5">
        <w:rPr>
          <w:rFonts w:ascii="Times New Roman" w:hAnsi="Times New Roman" w:cs="Times New Roman"/>
          <w:bCs/>
          <w:sz w:val="24"/>
          <w:szCs w:val="24"/>
        </w:rPr>
        <w:t>evumi tiek plānoti EUR 2 094 209</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apmērā, kas par EUR 441 650 jeb 26.76% vairāk nekā </w:t>
      </w:r>
      <w:r>
        <w:rPr>
          <w:rFonts w:ascii="Times New Roman" w:hAnsi="Times New Roman" w:cs="Times New Roman"/>
          <w:sz w:val="24"/>
          <w:szCs w:val="24"/>
        </w:rPr>
        <w:t>2019. gada sākumā tika ieplānots</w:t>
      </w:r>
      <w:r>
        <w:rPr>
          <w:rFonts w:ascii="Times New Roman" w:hAnsi="Times New Roman" w:cs="Times New Roman"/>
          <w:bCs/>
          <w:sz w:val="24"/>
          <w:szCs w:val="24"/>
        </w:rPr>
        <w:t>. Šos izdevumus veido:</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
          <w:bCs/>
          <w:sz w:val="24"/>
          <w:szCs w:val="24"/>
        </w:rPr>
      </w:pPr>
      <w:r>
        <w:rPr>
          <w:rFonts w:ascii="Times New Roman" w:hAnsi="Times New Roman" w:cs="Times New Roman"/>
          <w:bCs/>
          <w:sz w:val="24"/>
          <w:szCs w:val="24"/>
        </w:rPr>
        <w:t>Viļakas novada valsts un pašvaldības vienotā klientu apkalpošanas centram - EUR 16 188</w:t>
      </w:r>
      <w:r>
        <w:rPr>
          <w:rFonts w:ascii="Times New Roman" w:hAnsi="Times New Roman" w:cs="Times New Roman"/>
          <w:b/>
          <w:bCs/>
          <w:sz w:val="24"/>
          <w:szCs w:val="24"/>
        </w:rPr>
        <w:t>;</w:t>
      </w:r>
    </w:p>
    <w:p w:rsidR="000527A3" w:rsidRDefault="000527A3" w:rsidP="000527A3">
      <w:pPr>
        <w:pStyle w:val="Sarakstarindkopa"/>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Topošo un jauno uzņēmēju projektu konkursam - EUR 16 000;</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Būvvaldes uzturēšanai - EUR 25 922; </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Algotiem pagaidu sabiedriskajiem darbiem - EUR 72 923</w:t>
      </w:r>
      <w:r>
        <w:rPr>
          <w:rFonts w:ascii="Times New Roman" w:hAnsi="Times New Roman" w:cs="Times New Roman"/>
          <w:b/>
          <w:bCs/>
          <w:sz w:val="24"/>
          <w:szCs w:val="24"/>
        </w:rPr>
        <w:t>;</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Viļakas novada ielu un ceļu rekonstrukcijai - EUR 36 121, tiks īstenots LAD, ELFLA projekts "Grants seguma ceļa "Upīte-</w:t>
      </w:r>
      <w:proofErr w:type="spellStart"/>
      <w:r>
        <w:rPr>
          <w:rFonts w:ascii="Times New Roman" w:hAnsi="Times New Roman" w:cs="Times New Roman"/>
          <w:bCs/>
          <w:sz w:val="24"/>
          <w:szCs w:val="24"/>
        </w:rPr>
        <w:t>Nikolajevka</w:t>
      </w:r>
      <w:proofErr w:type="spellEnd"/>
      <w:r>
        <w:rPr>
          <w:rFonts w:ascii="Times New Roman" w:hAnsi="Times New Roman" w:cs="Times New Roman"/>
          <w:bCs/>
          <w:sz w:val="24"/>
          <w:szCs w:val="24"/>
        </w:rPr>
        <w:t>" pārbūve Viļakas novada Šķilbēnu pagastā;</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Dabas parkam „</w:t>
      </w:r>
      <w:proofErr w:type="spellStart"/>
      <w:r>
        <w:rPr>
          <w:rFonts w:ascii="Times New Roman" w:hAnsi="Times New Roman" w:cs="Times New Roman"/>
          <w:bCs/>
          <w:sz w:val="24"/>
          <w:szCs w:val="24"/>
        </w:rPr>
        <w:t>Balkanu</w:t>
      </w:r>
      <w:proofErr w:type="spellEnd"/>
      <w:r>
        <w:rPr>
          <w:rFonts w:ascii="Times New Roman" w:hAnsi="Times New Roman" w:cs="Times New Roman"/>
          <w:bCs/>
          <w:sz w:val="24"/>
          <w:szCs w:val="24"/>
        </w:rPr>
        <w:t xml:space="preserve"> kalni” – EUR 24 156;</w:t>
      </w:r>
    </w:p>
    <w:p w:rsidR="000527A3" w:rsidRDefault="000527A3" w:rsidP="000527A3">
      <w:pPr>
        <w:pStyle w:val="Sarakstarindkopa"/>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Latgales programmas projekts “ Uzņēmējdarbības attīstība Austrumu pierobežā” – EUR 1 411 594;</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Projekts “Green </w:t>
      </w:r>
      <w:proofErr w:type="spellStart"/>
      <w:r>
        <w:rPr>
          <w:rFonts w:ascii="Times New Roman" w:hAnsi="Times New Roman" w:cs="Times New Roman"/>
          <w:bCs/>
          <w:sz w:val="24"/>
          <w:szCs w:val="24"/>
        </w:rPr>
        <w:t>Palette</w:t>
      </w:r>
      <w:proofErr w:type="spellEnd"/>
      <w:r>
        <w:rPr>
          <w:rFonts w:ascii="Times New Roman" w:hAnsi="Times New Roman" w:cs="Times New Roman"/>
          <w:bCs/>
          <w:sz w:val="24"/>
          <w:szCs w:val="24"/>
        </w:rPr>
        <w:t>” – EUR 68 000;</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Projekts “Viļakas ezera krasta un salas apsaimniekošanas un labiekārtošanas darbu veikšana” – EUR 20 414;</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Projekts „Pieejamības nodrošināšana Viļakas ezera salai, uzstādot koka laipu un pontonu tiltu”- EUR 71 03;</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Projekts “Green </w:t>
      </w:r>
      <w:proofErr w:type="spellStart"/>
      <w:r>
        <w:rPr>
          <w:rFonts w:ascii="Times New Roman" w:hAnsi="Times New Roman" w:cs="Times New Roman"/>
          <w:bCs/>
          <w:sz w:val="24"/>
          <w:szCs w:val="24"/>
        </w:rPr>
        <w:t>Way</w:t>
      </w:r>
      <w:proofErr w:type="spellEnd"/>
      <w:r>
        <w:rPr>
          <w:rFonts w:ascii="Times New Roman" w:hAnsi="Times New Roman" w:cs="Times New Roman"/>
          <w:bCs/>
          <w:sz w:val="24"/>
          <w:szCs w:val="24"/>
        </w:rPr>
        <w:t>” – EUR 123 218.</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 xml:space="preserve">Autoceļu fonda līdzekļi pašvaldības ceļu un ielu uzturēšanai – EUR 198 455, </w:t>
      </w:r>
      <w:proofErr w:type="spellStart"/>
      <w:r>
        <w:rPr>
          <w:rFonts w:ascii="Times New Roman" w:hAnsi="Times New Roman" w:cs="Times New Roman"/>
          <w:bCs/>
          <w:sz w:val="24"/>
          <w:szCs w:val="24"/>
        </w:rPr>
        <w:t>tsk</w:t>
      </w:r>
      <w:proofErr w:type="spellEnd"/>
      <w:r>
        <w:rPr>
          <w:rFonts w:ascii="Times New Roman" w:hAnsi="Times New Roman" w:cs="Times New Roman"/>
          <w:bCs/>
          <w:sz w:val="24"/>
          <w:szCs w:val="24"/>
        </w:rPr>
        <w:t xml:space="preserve"> tiks ierīkots ielas apgaismojums Borisovas ciemā – EUR 7000;</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Saskaņā ar Viļakas novada pašvaldības autoceļu fonda nolikumu mērķdotācija pašvaldības autoceļu un ielu uzturēšanai tiek sadalīta šādi:</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Viļakas pilsēta – EUR  39 003;</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Kupravas pārvalde – EUR 18 568;</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Medņevas pārvalde – EUR 25 577;</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Susāju pārvalde – EUR 21 134 ;</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Šķilbēnu pārvalde –EUR 38 068;</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Vecumu pārvalde – EUR 15 518;</w:t>
      </w:r>
    </w:p>
    <w:p w:rsidR="000527A3" w:rsidRDefault="000527A3" w:rsidP="000527A3">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Žīguru pārvalde –EUR 15 934;</w:t>
      </w:r>
    </w:p>
    <w:p w:rsidR="000527A3" w:rsidRDefault="000527A3" w:rsidP="000527A3">
      <w:pPr>
        <w:pStyle w:val="Sarakstarindkopa"/>
        <w:spacing w:after="0" w:line="240" w:lineRule="auto"/>
        <w:ind w:left="1349"/>
        <w:jc w:val="both"/>
        <w:rPr>
          <w:rFonts w:ascii="Times New Roman" w:hAnsi="Times New Roman" w:cs="Times New Roman"/>
          <w:bCs/>
          <w:sz w:val="24"/>
          <w:szCs w:val="24"/>
        </w:rPr>
      </w:pPr>
      <w:r>
        <w:rPr>
          <w:rFonts w:ascii="Times New Roman" w:eastAsia="Calibri" w:hAnsi="Times New Roman" w:cs="Times New Roman"/>
          <w:sz w:val="24"/>
          <w:szCs w:val="24"/>
        </w:rPr>
        <w:t xml:space="preserve">  Novada kopējiem attīstības projektiem –EUR 74 486.</w:t>
      </w:r>
    </w:p>
    <w:p w:rsidR="000527A3" w:rsidRDefault="000527A3" w:rsidP="000527A3">
      <w:pPr>
        <w:pStyle w:val="Sarakstarindkopa"/>
        <w:numPr>
          <w:ilvl w:val="0"/>
          <w:numId w:val="2"/>
        </w:numPr>
        <w:spacing w:after="0" w:line="240" w:lineRule="auto"/>
        <w:ind w:left="1349" w:hanging="357"/>
        <w:jc w:val="both"/>
        <w:rPr>
          <w:rFonts w:ascii="Times New Roman" w:hAnsi="Times New Roman" w:cs="Times New Roman"/>
          <w:bCs/>
          <w:sz w:val="24"/>
          <w:szCs w:val="24"/>
        </w:rPr>
      </w:pPr>
      <w:r>
        <w:rPr>
          <w:rFonts w:ascii="Times New Roman" w:hAnsi="Times New Roman" w:cs="Times New Roman"/>
          <w:bCs/>
          <w:sz w:val="24"/>
          <w:szCs w:val="24"/>
        </w:rPr>
        <w:t>u.c. aktivitātēm - EUR 7 248.</w:t>
      </w:r>
    </w:p>
    <w:p w:rsidR="000527A3" w:rsidRDefault="000527A3" w:rsidP="000527A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Vides aizsardzība</w:t>
      </w:r>
    </w:p>
    <w:p w:rsidR="000527A3" w:rsidRDefault="000527A3" w:rsidP="000527A3">
      <w:pPr>
        <w:spacing w:after="0" w:line="240" w:lineRule="auto"/>
        <w:ind w:firstLine="720"/>
        <w:jc w:val="both"/>
        <w:rPr>
          <w:rFonts w:ascii="Times New Roman" w:hAnsi="Times New Roman" w:cs="Times New Roman"/>
          <w:b/>
          <w:bCs/>
          <w:sz w:val="24"/>
          <w:szCs w:val="24"/>
        </w:rPr>
      </w:pPr>
      <w:r>
        <w:rPr>
          <w:rFonts w:ascii="Times New Roman" w:eastAsia="Calibri" w:hAnsi="Times New Roman" w:cs="Times New Roman"/>
          <w:sz w:val="24"/>
          <w:szCs w:val="24"/>
        </w:rPr>
        <w:t>Šajā postenī ieplānoti līdzekļi Viļakas novada pārvalžu kanalizācijas un attīrīšanas iekārtu uzturēšanai un apsaimniekošanai,  atkritumu un kā arī citi vides aizsardzības pasākumi. Šie izdevumi</w:t>
      </w:r>
      <w:r>
        <w:rPr>
          <w:rFonts w:ascii="Times New Roman" w:hAnsi="Times New Roman" w:cs="Times New Roman"/>
          <w:bCs/>
          <w:sz w:val="24"/>
          <w:szCs w:val="24"/>
        </w:rPr>
        <w:t xml:space="preserve"> plānoti EUR 50 844 apmērā, </w:t>
      </w:r>
      <w:proofErr w:type="spellStart"/>
      <w:r>
        <w:rPr>
          <w:rFonts w:ascii="Times New Roman" w:hAnsi="Times New Roman" w:cs="Times New Roman"/>
          <w:bCs/>
          <w:sz w:val="24"/>
          <w:szCs w:val="24"/>
        </w:rPr>
        <w:t>tsk</w:t>
      </w:r>
      <w:proofErr w:type="spellEnd"/>
      <w:r>
        <w:rPr>
          <w:rFonts w:ascii="Times New Roman" w:hAnsi="Times New Roman" w:cs="Times New Roman"/>
          <w:bCs/>
          <w:sz w:val="24"/>
          <w:szCs w:val="24"/>
        </w:rPr>
        <w:t xml:space="preserve">. vides aizsardzības pasākumiem no dabas resursu nodokļa – EUR 12 028. </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Pašvaldības teritoriju un mājokļu apsaimniekošana</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eastAsia="Calibri" w:hAnsi="Times New Roman" w:cs="Times New Roman"/>
          <w:sz w:val="24"/>
          <w:szCs w:val="24"/>
        </w:rPr>
        <w:t>Šajā postenī kopējie izdevumi plānoti EUR 767 954 apmērā.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Veselība</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Feldšeru un veselības pun</w:t>
      </w:r>
      <w:r w:rsidR="00DB0AF5">
        <w:rPr>
          <w:rFonts w:ascii="Times New Roman" w:eastAsia="Calibri" w:hAnsi="Times New Roman" w:cs="Times New Roman"/>
          <w:sz w:val="24"/>
          <w:szCs w:val="24"/>
        </w:rPr>
        <w:t>ktu uzturēšanai ieplānoti EUR 34</w:t>
      </w:r>
      <w:r>
        <w:rPr>
          <w:rFonts w:ascii="Times New Roman" w:eastAsia="Calibri" w:hAnsi="Times New Roman" w:cs="Times New Roman"/>
          <w:sz w:val="24"/>
          <w:szCs w:val="24"/>
        </w:rPr>
        <w:t xml:space="preserve"> </w:t>
      </w:r>
      <w:r w:rsidR="00DB0AF5">
        <w:rPr>
          <w:rFonts w:ascii="Times New Roman" w:eastAsia="Calibri" w:hAnsi="Times New Roman" w:cs="Times New Roman"/>
          <w:sz w:val="24"/>
          <w:szCs w:val="24"/>
        </w:rPr>
        <w:t>012</w:t>
      </w:r>
      <w:r>
        <w:rPr>
          <w:rFonts w:ascii="Times New Roman" w:eastAsia="Calibri" w:hAnsi="Times New Roman" w:cs="Times New Roman"/>
          <w:sz w:val="24"/>
          <w:szCs w:val="24"/>
        </w:rPr>
        <w:t>. Kupravas feldšeru un veselības punktam ieplānoti – EUR 10 132, Upītes feldšeru un veselības punktam –  EUR 12 378, projekta “Veselības veicināšanas un slimību profilakses pasākumi Viļakas novadā” īstenošanai – EUR 6 502, projekta “</w:t>
      </w:r>
      <w:proofErr w:type="spellStart"/>
      <w:r>
        <w:rPr>
          <w:rFonts w:ascii="Times New Roman" w:eastAsia="Calibri" w:hAnsi="Times New Roman" w:cs="Times New Roman"/>
          <w:sz w:val="24"/>
          <w:szCs w:val="24"/>
        </w:rPr>
        <w:t>Deinstitucionalizācijas</w:t>
      </w:r>
      <w:proofErr w:type="spellEnd"/>
      <w:r>
        <w:rPr>
          <w:rFonts w:ascii="Times New Roman" w:eastAsia="Calibri" w:hAnsi="Times New Roman" w:cs="Times New Roman"/>
          <w:sz w:val="24"/>
          <w:szCs w:val="24"/>
        </w:rPr>
        <w:t xml:space="preserve"> pasākumu īstenošana Latgales reģionā” īstenošanai – EUR 5 000.</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Atpūta, kultūra, sports un reliģija</w:t>
      </w:r>
    </w:p>
    <w:p w:rsidR="000527A3" w:rsidRDefault="000527A3" w:rsidP="000527A3">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Pr>
          <w:rFonts w:ascii="Times New Roman" w:hAnsi="Times New Roman" w:cs="Times New Roman"/>
          <w:bCs/>
          <w:sz w:val="24"/>
          <w:szCs w:val="24"/>
        </w:rPr>
        <w:t>Izdevumi plānoti EUR 1 028 642</w:t>
      </w:r>
      <w:r>
        <w:rPr>
          <w:rFonts w:ascii="Times New Roman" w:hAnsi="Times New Roman" w:cs="Times New Roman"/>
          <w:sz w:val="24"/>
          <w:szCs w:val="24"/>
        </w:rPr>
        <w:t xml:space="preserve"> </w:t>
      </w:r>
      <w:r>
        <w:rPr>
          <w:rFonts w:ascii="Times New Roman" w:hAnsi="Times New Roman" w:cs="Times New Roman"/>
          <w:bCs/>
          <w:sz w:val="24"/>
          <w:szCs w:val="24"/>
        </w:rPr>
        <w:t xml:space="preserve">apmērā. </w:t>
      </w:r>
      <w:r>
        <w:rPr>
          <w:rFonts w:ascii="Times New Roman" w:eastAsia="Calibri" w:hAnsi="Times New Roman" w:cs="Times New Roman"/>
          <w:sz w:val="24"/>
          <w:szCs w:val="24"/>
        </w:rPr>
        <w:t>Novada muzeju darbības nodrošināšanai ieplānoti EUR 130 630.  Viļakas novada muzejā tiks īstenoti šādi projekti: projekts "Kvalitatīvas tūrisma un dabas izziņas infrastruktūras izveide dabas piemineklī "</w:t>
      </w:r>
      <w:proofErr w:type="spellStart"/>
      <w:r>
        <w:rPr>
          <w:rFonts w:ascii="Times New Roman" w:eastAsia="Calibri" w:hAnsi="Times New Roman" w:cs="Times New Roman"/>
          <w:sz w:val="24"/>
          <w:szCs w:val="24"/>
        </w:rPr>
        <w:t>Stiglovas</w:t>
      </w:r>
      <w:proofErr w:type="spellEnd"/>
      <w:r>
        <w:rPr>
          <w:rFonts w:ascii="Times New Roman" w:eastAsia="Calibri" w:hAnsi="Times New Roman" w:cs="Times New Roman"/>
          <w:sz w:val="24"/>
          <w:szCs w:val="24"/>
        </w:rPr>
        <w:t xml:space="preserve"> atsegumi"" – EUR 7690, projekts "Vietējā </w:t>
      </w:r>
      <w:proofErr w:type="spellStart"/>
      <w:r>
        <w:rPr>
          <w:rFonts w:ascii="Times New Roman" w:eastAsia="Calibri" w:hAnsi="Times New Roman" w:cs="Times New Roman"/>
          <w:sz w:val="24"/>
          <w:szCs w:val="24"/>
        </w:rPr>
        <w:t>velomaršruta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Tepenīcas</w:t>
      </w:r>
      <w:proofErr w:type="spellEnd"/>
      <w:r>
        <w:rPr>
          <w:rFonts w:ascii="Times New Roman" w:eastAsia="Calibri" w:hAnsi="Times New Roman" w:cs="Times New Roman"/>
          <w:sz w:val="24"/>
          <w:szCs w:val="24"/>
        </w:rPr>
        <w:t xml:space="preserve"> aplis" izveide" – EUR 1 937, projekts "Viļakas viduslaiku pils maketa izgatavošana" – EUR 11 036, kā arī tradicionālo  - 4.Starptauskais mākslas plenērs "Valdis Bušs 2020" – EUR 9 680. Novada sporta pasākumu un aktivitāšu nodrošināšanai ieplānoti EUR 25 737. Viļakas novada bibliotēku darbības nodrošināšanai ieplānoti EUR 126 152, t.sk bibliotēku krājumu palielināšanai – EUR 4990, periodikas iegādei – EUR 3153. Kultūras un Tautas namiem, centriem un pasākumiem ieplānoti  EUR 658 252, t.sk. pašdarbības kolektīvu un pulciņu vadītāju atalgojumam  EUR 34 223. Nemateriālās kultūras mantojuma centrs „Upīte” īstenos LV-</w:t>
      </w:r>
      <w:proofErr w:type="spellStart"/>
      <w:r>
        <w:rPr>
          <w:rFonts w:ascii="Times New Roman" w:eastAsia="Calibri" w:hAnsi="Times New Roman" w:cs="Times New Roman"/>
          <w:sz w:val="24"/>
          <w:szCs w:val="24"/>
        </w:rPr>
        <w:t>LT_Belarus</w:t>
      </w:r>
      <w:proofErr w:type="spellEnd"/>
      <w:r>
        <w:rPr>
          <w:rFonts w:ascii="Times New Roman" w:eastAsia="Calibri" w:hAnsi="Times New Roman" w:cs="Times New Roman"/>
          <w:sz w:val="24"/>
          <w:szCs w:val="24"/>
        </w:rPr>
        <w:t xml:space="preserve"> programmas projektu "</w:t>
      </w:r>
      <w:proofErr w:type="spellStart"/>
      <w:r>
        <w:rPr>
          <w:rFonts w:ascii="Times New Roman" w:eastAsia="Calibri" w:hAnsi="Times New Roman" w:cs="Times New Roman"/>
          <w:sz w:val="24"/>
          <w:szCs w:val="24"/>
        </w:rPr>
        <w:t>Neighbors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together</w:t>
      </w:r>
      <w:proofErr w:type="spellEnd"/>
      <w:r>
        <w:rPr>
          <w:rFonts w:ascii="Times New Roman" w:eastAsia="Calibri" w:hAnsi="Times New Roman" w:cs="Times New Roman"/>
          <w:sz w:val="24"/>
          <w:szCs w:val="24"/>
        </w:rPr>
        <w:t xml:space="preserve">" ("Kaimiņi kopā") Upītes tautas nama rekonstrukcija – EUR 419 000 (377100EUR no fonda)  Jauniešu un iniciatīvu centram ieplānoti EUR 44 226. </w:t>
      </w:r>
    </w:p>
    <w:p w:rsidR="000527A3" w:rsidRDefault="000527A3" w:rsidP="000527A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Izglītība</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Izdevumi plānoti EUR  2 414 501 apmērā</w:t>
      </w:r>
      <w:r>
        <w:rPr>
          <w:rFonts w:ascii="Times New Roman" w:hAnsi="Times New Roman" w:cs="Times New Roman"/>
          <w:sz w:val="24"/>
          <w:szCs w:val="24"/>
        </w:rPr>
        <w:t>. Šos izdevumus veido:</w:t>
      </w:r>
    </w:p>
    <w:p w:rsidR="000527A3" w:rsidRDefault="000527A3" w:rsidP="000527A3">
      <w:pPr>
        <w:pStyle w:val="Sarakstarindkopa"/>
        <w:numPr>
          <w:ilvl w:val="1"/>
          <w:numId w:val="3"/>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Pirmsskolas izglītības iestādēm - EUR 369 007;</w:t>
      </w:r>
    </w:p>
    <w:p w:rsidR="000527A3" w:rsidRDefault="000527A3" w:rsidP="000527A3">
      <w:pPr>
        <w:pStyle w:val="Sarakstarindkopa"/>
        <w:numPr>
          <w:ilvl w:val="1"/>
          <w:numId w:val="3"/>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Novada pamatskolām un vidusskolām - EUR 1 333 763;</w:t>
      </w:r>
    </w:p>
    <w:p w:rsidR="000527A3" w:rsidRDefault="000527A3" w:rsidP="000527A3">
      <w:pPr>
        <w:pStyle w:val="Sarakstarindkopa"/>
        <w:numPr>
          <w:ilvl w:val="3"/>
          <w:numId w:val="3"/>
        </w:numPr>
        <w:autoSpaceDE w:val="0"/>
        <w:autoSpaceDN w:val="0"/>
        <w:adjustRightInd w:val="0"/>
        <w:spacing w:after="0" w:line="240" w:lineRule="auto"/>
        <w:ind w:left="1418"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Projektam "Modernizēt mācību vidi Viļakas Valsts ģimnāzijā"-EUR 14 000;</w:t>
      </w:r>
    </w:p>
    <w:p w:rsidR="000527A3" w:rsidRDefault="000527A3" w:rsidP="000527A3">
      <w:pPr>
        <w:pStyle w:val="Sarakstarindkopa"/>
        <w:numPr>
          <w:ilvl w:val="1"/>
          <w:numId w:val="3"/>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Viļakas bērnu un jaunatnes sporta skolai – EUR 11 2613;</w:t>
      </w:r>
    </w:p>
    <w:p w:rsidR="000527A3" w:rsidRDefault="000527A3" w:rsidP="000527A3">
      <w:pPr>
        <w:pStyle w:val="Sarakstarindkopa"/>
        <w:numPr>
          <w:ilvl w:val="1"/>
          <w:numId w:val="3"/>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shd w:val="clear" w:color="auto" w:fill="F1F1F1"/>
        </w:rPr>
        <w:t>Viļakas mūzikas un mākslas skolai – EUR 147 184;</w:t>
      </w:r>
    </w:p>
    <w:p w:rsidR="000527A3" w:rsidRDefault="000527A3" w:rsidP="000527A3">
      <w:pPr>
        <w:pStyle w:val="Sarakstarindkopa"/>
        <w:numPr>
          <w:ilvl w:val="1"/>
          <w:numId w:val="3"/>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Norēķiniem par citu pašvaldību izglītības sniegtajiem pakalpojumiem – EUR102000;</w:t>
      </w:r>
    </w:p>
    <w:p w:rsidR="000527A3" w:rsidRDefault="000527A3" w:rsidP="000527A3">
      <w:pPr>
        <w:pStyle w:val="Sarakstarindkopa"/>
        <w:numPr>
          <w:ilvl w:val="1"/>
          <w:numId w:val="3"/>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Izglītības, kultūras un sporta pārvaldei ieplānoti – EUR 110 807, t.sk. kultūras sadaļas izdevumiem EUR 34 300,</w:t>
      </w:r>
    </w:p>
    <w:p w:rsidR="000527A3" w:rsidRDefault="000527A3" w:rsidP="000527A3">
      <w:pPr>
        <w:pStyle w:val="Sarakstarindkopa"/>
        <w:numPr>
          <w:ilvl w:val="1"/>
          <w:numId w:val="3"/>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Izglītības, kultūras un sporta pārvalde īsteno šādus projektus: </w:t>
      </w:r>
      <w:r>
        <w:rPr>
          <w:rFonts w:ascii="Times New Roman" w:eastAsia="Times New Roman" w:hAnsi="Times New Roman" w:cs="Times New Roman"/>
          <w:sz w:val="24"/>
          <w:szCs w:val="24"/>
          <w:lang w:eastAsia="ru-RU"/>
        </w:rPr>
        <w:t>"Atbalsts priekšlaicīgas mācību pārtraukšanas samazināšanai"; "Karjeras atbalsts vispārējās un profesionālās izglītības iestādēs; „Latvijas skolas soma”; „Atbalsts izglītojamo individuālo kompetenču attīstībai”.</w:t>
      </w:r>
    </w:p>
    <w:p w:rsidR="000527A3" w:rsidRDefault="000527A3" w:rsidP="000527A3">
      <w:pPr>
        <w:pStyle w:val="Sarakstarindkopa"/>
        <w:numPr>
          <w:ilvl w:val="1"/>
          <w:numId w:val="3"/>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XII skolēnu dziesmu un deju svētkiem – EUR 4749.</w:t>
      </w:r>
    </w:p>
    <w:p w:rsidR="000527A3" w:rsidRDefault="000527A3" w:rsidP="000527A3">
      <w:pPr>
        <w:pStyle w:val="Sarakstarindkopa"/>
        <w:numPr>
          <w:ilvl w:val="1"/>
          <w:numId w:val="3"/>
        </w:num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Izglītības papildus pakalpojumiem t.i. skolēnu ceļa izdevumu segšanai, skolēnu pārvadājumiem </w:t>
      </w:r>
      <w:proofErr w:type="spellStart"/>
      <w:r>
        <w:rPr>
          <w:rFonts w:ascii="Times New Roman" w:eastAsia="Calibri" w:hAnsi="Times New Roman" w:cs="Times New Roman"/>
          <w:sz w:val="24"/>
          <w:szCs w:val="24"/>
        </w:rPr>
        <w:t>utml</w:t>
      </w:r>
      <w:proofErr w:type="spellEnd"/>
      <w:r>
        <w:rPr>
          <w:rFonts w:ascii="Times New Roman" w:eastAsia="Calibri" w:hAnsi="Times New Roman" w:cs="Times New Roman"/>
          <w:sz w:val="24"/>
          <w:szCs w:val="24"/>
        </w:rPr>
        <w:t>. – EUR 121 51.</w:t>
      </w:r>
    </w:p>
    <w:p w:rsidR="000527A3" w:rsidRDefault="000527A3" w:rsidP="000527A3">
      <w:p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color w:val="FF0000"/>
          <w:sz w:val="24"/>
          <w:szCs w:val="24"/>
        </w:rPr>
        <w:t xml:space="preserve">      </w:t>
      </w:r>
      <w:r>
        <w:rPr>
          <w:rFonts w:ascii="Times New Roman" w:eastAsia="Calibri" w:hAnsi="Times New Roman" w:cs="Times New Roman"/>
          <w:b/>
          <w:sz w:val="24"/>
          <w:szCs w:val="24"/>
        </w:rPr>
        <w:t xml:space="preserve">      S</w:t>
      </w:r>
      <w:r>
        <w:rPr>
          <w:rFonts w:ascii="Times New Roman" w:hAnsi="Times New Roman" w:cs="Times New Roman"/>
          <w:b/>
          <w:sz w:val="24"/>
          <w:szCs w:val="24"/>
        </w:rPr>
        <w:t>ociālā aizsardzība</w:t>
      </w:r>
    </w:p>
    <w:p w:rsidR="000527A3" w:rsidRDefault="000527A3" w:rsidP="000527A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Sociālās aizsardzības izdevumi 2020.gadā plānoti EUR 1 284 044. No asignējumiem sociālajai aizsardzībai EUR 127 540 paredzēti pabalstiem un palīdzībai </w:t>
      </w:r>
      <w:r>
        <w:rPr>
          <w:rFonts w:ascii="Times New Roman" w:eastAsia="Calibri" w:hAnsi="Times New Roman" w:cs="Times New Roman"/>
          <w:sz w:val="24"/>
          <w:szCs w:val="24"/>
        </w:rPr>
        <w:lastRenderedPageBreak/>
        <w:t>pašvaldības maznodrošinātajiem iedzīvotājiem.</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Transfertiem</w:t>
      </w:r>
      <w:proofErr w:type="spellEnd"/>
      <w:r>
        <w:rPr>
          <w:rFonts w:ascii="Times New Roman" w:eastAsia="Times New Roman" w:hAnsi="Times New Roman" w:cs="Times New Roman"/>
          <w:lang w:eastAsia="lv-LV"/>
        </w:rPr>
        <w:t xml:space="preserve"> citām pašvaldībām sociālo funkciju nodrošināšanai - EUR 19 252.</w:t>
      </w:r>
      <w:r>
        <w:rPr>
          <w:rFonts w:ascii="Times New Roman" w:eastAsia="Calibri" w:hAnsi="Times New Roman" w:cs="Times New Roman"/>
          <w:sz w:val="24"/>
          <w:szCs w:val="24"/>
        </w:rPr>
        <w:t xml:space="preserve">  Sociālās palīdzības dienesta uzturēšanai ieplānoti EUR 143 658. Bāriņtiesai – EUR 56 551.  </w:t>
      </w:r>
    </w:p>
    <w:p w:rsidR="000527A3" w:rsidRDefault="000527A3" w:rsidP="000527A3">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Saskaņā ar 2012.gada 18.decembra Ministru kabineta noteikumiem Nr.942 “Kārtība, kādā piešķir un finansē asistenta pakalpojumu pašvaldībās”, 2020.gadā pašvaldība nodrošinās asistenta pakalpojumus personām, kurām noteikta I un II invaliditātes grupa EUR 19 509 apmērā.</w:t>
      </w:r>
      <w:r>
        <w:rPr>
          <w:rFonts w:ascii="Times New Roman" w:eastAsia="Calibri" w:hAnsi="Times New Roman" w:cs="Times New Roman"/>
          <w:sz w:val="24"/>
          <w:szCs w:val="24"/>
        </w:rPr>
        <w:tab/>
      </w:r>
    </w:p>
    <w:p w:rsidR="000527A3" w:rsidRDefault="000527A3" w:rsidP="000527A3">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Viļakas novada sociālās aprūpes iestāžu uzturēšanai un labiekārtošanai ieplānoti EUR 378 507. </w:t>
      </w:r>
    </w:p>
    <w:p w:rsidR="000527A3" w:rsidRDefault="000527A3" w:rsidP="000527A3">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Viļakas novada dome īstenos projektu „Sabiedrībā balstītu sociālo pakalpojumu infrastruktūras izveide un attīstība Viļakas novadā’- EUR 526 6865, kura rezultātā tiks atjaunotas un pielāgotas divas dzīvojamās mājas Viļakas pilsētā cilvēkiem ar īpašām vajadzībām.</w:t>
      </w:r>
    </w:p>
    <w:p w:rsidR="000527A3" w:rsidRDefault="000527A3" w:rsidP="000527A3">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Pašvaldības aizņēmumi </w:t>
      </w:r>
    </w:p>
    <w:p w:rsidR="000527A3" w:rsidRDefault="000527A3" w:rsidP="000527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2020.gadā pašvaldība plāno aizņemties EUR 2 295 445 dažādu projektu realizēšanai. Veiksmīgi īstenojot projektus 2020.gadā kopējā aizņēmumu atmaksa plānota EUR1 281 143. </w:t>
      </w:r>
    </w:p>
    <w:p w:rsidR="000527A3" w:rsidRDefault="000527A3" w:rsidP="000527A3">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Programma turpmākajiem 2 saimnieciskajiem gadiem</w:t>
      </w:r>
    </w:p>
    <w:p w:rsidR="000527A3" w:rsidRDefault="000527A3" w:rsidP="000527A3">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rsidR="000527A3" w:rsidRDefault="000527A3" w:rsidP="000527A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Saskaņā ar Viļakas novada attīstības programmu 2018. – 2024.gadam turpmākajos 2 saimnieciskajos gados kā viena no galvenajām prioritātēm noteikta sociālās aprūpes iestāžu infrastruktūras sakārtošana, veidojot mūsdienu prasībām atbilstošu pakalpojumu vecāka gadagājuma iedzīvotājiem. Kā otra prioritāte ir pašvaldības ielu un ceļu uzturēšana, tas ir grāvju atjaunošana, grants seguma pastiprināšana un finanšu iespēju robežās arī ielu un ceļu rekonstrukcija. Kā trešā prioritāte –  tūrisma infrastruktūras un tūrisma pakalpojumu papildināšana, sadarbojoties ar uzņēmējiem un citām pašvaldībām. </w:t>
      </w:r>
    </w:p>
    <w:p w:rsidR="000527A3" w:rsidRDefault="000527A3" w:rsidP="000527A3">
      <w:pPr>
        <w:tabs>
          <w:tab w:val="left" w:pos="1950"/>
        </w:tabs>
        <w:autoSpaceDE w:val="0"/>
        <w:autoSpaceDN w:val="0"/>
        <w:adjustRightInd w:val="0"/>
        <w:spacing w:after="0" w:line="240" w:lineRule="auto"/>
        <w:jc w:val="center"/>
        <w:outlineLvl w:val="0"/>
        <w:rPr>
          <w:rFonts w:ascii="Times New Roman" w:eastAsia="Calibri" w:hAnsi="Times New Roman" w:cs="Times New Roman"/>
          <w:b/>
          <w:color w:val="FF0000"/>
          <w:sz w:val="24"/>
          <w:szCs w:val="24"/>
        </w:rPr>
      </w:pPr>
    </w:p>
    <w:p w:rsidR="000527A3" w:rsidRDefault="000527A3" w:rsidP="000527A3">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rsidR="000527A3" w:rsidRDefault="000527A3" w:rsidP="000527A3">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p>
    <w:p w:rsidR="000527A3" w:rsidRDefault="000527A3" w:rsidP="000527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S.Maksimovs</w:t>
      </w:r>
      <w:proofErr w:type="spellEnd"/>
    </w:p>
    <w:p w:rsidR="000527A3" w:rsidRDefault="000527A3" w:rsidP="000527A3">
      <w:pPr>
        <w:jc w:val="center"/>
        <w:rPr>
          <w:rFonts w:ascii="Times New Roman" w:hAnsi="Times New Roman" w:cs="Times New Roman"/>
          <w:b/>
          <w:sz w:val="24"/>
          <w:szCs w:val="24"/>
        </w:rPr>
      </w:pPr>
    </w:p>
    <w:p w:rsidR="000527A3" w:rsidRDefault="000527A3" w:rsidP="000527A3">
      <w:pPr>
        <w:jc w:val="center"/>
        <w:rPr>
          <w:rFonts w:ascii="Times New Roman" w:hAnsi="Times New Roman" w:cs="Times New Roman"/>
          <w:b/>
          <w:sz w:val="24"/>
          <w:szCs w:val="24"/>
        </w:rPr>
      </w:pPr>
    </w:p>
    <w:p w:rsidR="000527A3" w:rsidRDefault="000527A3" w:rsidP="000527A3">
      <w:pPr>
        <w:spacing w:after="0" w:line="240" w:lineRule="auto"/>
        <w:ind w:firstLine="567"/>
        <w:jc w:val="both"/>
        <w:rPr>
          <w:rFonts w:ascii="Times New Roman" w:hAnsi="Times New Roman" w:cs="Times New Roman"/>
          <w:sz w:val="24"/>
          <w:szCs w:val="24"/>
        </w:rPr>
      </w:pPr>
    </w:p>
    <w:p w:rsidR="000527A3" w:rsidRDefault="000527A3" w:rsidP="000527A3">
      <w:pPr>
        <w:spacing w:after="0" w:line="240" w:lineRule="auto"/>
        <w:ind w:firstLine="567"/>
        <w:jc w:val="both"/>
        <w:rPr>
          <w:rFonts w:ascii="Times New Roman" w:hAnsi="Times New Roman" w:cs="Times New Roman"/>
          <w:color w:val="FF0000"/>
          <w:sz w:val="24"/>
          <w:szCs w:val="24"/>
        </w:rPr>
      </w:pPr>
    </w:p>
    <w:p w:rsidR="000527A3" w:rsidRDefault="000527A3" w:rsidP="000527A3">
      <w:pPr>
        <w:pStyle w:val="Sarakstarindkopa"/>
        <w:spacing w:after="0" w:line="240" w:lineRule="auto"/>
        <w:ind w:left="993"/>
        <w:jc w:val="both"/>
        <w:rPr>
          <w:rFonts w:ascii="Times New Roman" w:hAnsi="Times New Roman" w:cs="Times New Roman"/>
          <w:color w:val="FF0000"/>
          <w:sz w:val="24"/>
          <w:szCs w:val="24"/>
        </w:rPr>
      </w:pPr>
    </w:p>
    <w:p w:rsidR="000527A3" w:rsidRDefault="000527A3" w:rsidP="000527A3">
      <w:pPr>
        <w:jc w:val="center"/>
        <w:rPr>
          <w:rFonts w:ascii="Times New Roman" w:hAnsi="Times New Roman" w:cs="Times New Roman"/>
          <w:color w:val="FF0000"/>
          <w:sz w:val="24"/>
          <w:szCs w:val="24"/>
        </w:rPr>
      </w:pPr>
    </w:p>
    <w:p w:rsidR="00261F0A" w:rsidRDefault="00261F0A"/>
    <w:sectPr w:rsidR="00261F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rbel">
    <w:panose1 w:val="020B0503020204020204"/>
    <w:charset w:val="BA"/>
    <w:family w:val="swiss"/>
    <w:pitch w:val="variable"/>
    <w:sig w:usb0="A00002EF" w:usb1="4000A4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0141"/>
    <w:multiLevelType w:val="hybridMultilevel"/>
    <w:tmpl w:val="A36AA190"/>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1"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5D5310FB"/>
    <w:multiLevelType w:val="hybridMultilevel"/>
    <w:tmpl w:val="2A545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A3"/>
    <w:rsid w:val="000527A3"/>
    <w:rsid w:val="00261F0A"/>
    <w:rsid w:val="00572ED4"/>
    <w:rsid w:val="00DB0A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C9B81-8C98-4B53-8988-4E3D80F0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527A3"/>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527A3"/>
    <w:pPr>
      <w:spacing w:after="0" w:line="240" w:lineRule="auto"/>
    </w:pPr>
    <w:rPr>
      <w:rFonts w:ascii="Calibri" w:eastAsia="Times New Roman" w:hAnsi="Calibri" w:cs="Times New Roman"/>
      <w:lang w:eastAsia="lv-LV"/>
    </w:rPr>
  </w:style>
  <w:style w:type="paragraph" w:styleId="Sarakstarindkopa">
    <w:name w:val="List Paragraph"/>
    <w:basedOn w:val="Parasts"/>
    <w:uiPriority w:val="34"/>
    <w:qFormat/>
    <w:rsid w:val="000527A3"/>
    <w:pPr>
      <w:ind w:left="720"/>
      <w:contextualSpacing/>
    </w:pPr>
  </w:style>
  <w:style w:type="paragraph" w:customStyle="1" w:styleId="Default">
    <w:name w:val="Default"/>
    <w:rsid w:val="000527A3"/>
    <w:pPr>
      <w:autoSpaceDE w:val="0"/>
      <w:autoSpaceDN w:val="0"/>
      <w:adjustRightInd w:val="0"/>
      <w:spacing w:after="0" w:line="240" w:lineRule="auto"/>
    </w:pPr>
    <w:rPr>
      <w:rFonts w:ascii="Corbel" w:eastAsia="Calibri" w:hAnsi="Corbel" w:cs="Corbel"/>
      <w:color w:val="000000"/>
      <w:sz w:val="24"/>
      <w:szCs w:val="24"/>
      <w:lang w:val="en-US"/>
    </w:rPr>
  </w:style>
  <w:style w:type="table" w:styleId="Reatabula">
    <w:name w:val="Table Grid"/>
    <w:basedOn w:val="Parastatabula"/>
    <w:uiPriority w:val="59"/>
    <w:rsid w:val="000527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59"/>
    <w:rsid w:val="000527A3"/>
    <w:pPr>
      <w:spacing w:after="0" w:line="240" w:lineRule="auto"/>
    </w:pPr>
    <w:rPr>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uiPriority w:val="59"/>
    <w:rsid w:val="000527A3"/>
    <w:pPr>
      <w:spacing w:after="0" w:line="240" w:lineRule="auto"/>
    </w:pPr>
    <w:rPr>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Parastatabula"/>
    <w:uiPriority w:val="59"/>
    <w:rsid w:val="000527A3"/>
    <w:pPr>
      <w:spacing w:after="0" w:line="240" w:lineRule="auto"/>
    </w:pPr>
    <w:rPr>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(2)'!$B$17:$F$17</c:f>
              <c:strCache>
                <c:ptCount val="5"/>
                <c:pt idx="0">
                  <c:v>2016.gads</c:v>
                </c:pt>
                <c:pt idx="1">
                  <c:v>2017.gads</c:v>
                </c:pt>
                <c:pt idx="2">
                  <c:v>2018.gads</c:v>
                </c:pt>
                <c:pt idx="3">
                  <c:v>2019.gads</c:v>
                </c:pt>
                <c:pt idx="4">
                  <c:v>2020.gads</c:v>
                </c:pt>
              </c:strCache>
            </c:strRef>
          </c:cat>
          <c:val>
            <c:numRef>
              <c:f>'iedzīvotāji (2)'!$B$18:$F$18</c:f>
              <c:numCache>
                <c:formatCode>General</c:formatCode>
                <c:ptCount val="5"/>
                <c:pt idx="0">
                  <c:v>5498</c:v>
                </c:pt>
                <c:pt idx="1">
                  <c:v>5389</c:v>
                </c:pt>
                <c:pt idx="2">
                  <c:v>5158</c:v>
                </c:pt>
                <c:pt idx="3">
                  <c:v>4996</c:v>
                </c:pt>
                <c:pt idx="4">
                  <c:v>4908</c:v>
                </c:pt>
              </c:numCache>
            </c:numRef>
          </c:val>
        </c:ser>
        <c:dLbls>
          <c:showLegendKey val="0"/>
          <c:showVal val="0"/>
          <c:showCatName val="0"/>
          <c:showSerName val="0"/>
          <c:showPercent val="0"/>
          <c:showBubbleSize val="0"/>
        </c:dLbls>
        <c:gapWidth val="219"/>
        <c:overlap val="-27"/>
        <c:axId val="446363784"/>
        <c:axId val="446369272"/>
      </c:barChart>
      <c:catAx>
        <c:axId val="44636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6369272"/>
        <c:crosses val="autoZero"/>
        <c:auto val="1"/>
        <c:lblAlgn val="ctr"/>
        <c:lblOffset val="100"/>
        <c:noMultiLvlLbl val="0"/>
      </c:catAx>
      <c:valAx>
        <c:axId val="4463692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46363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BF302D7-7B9F-463F-BE5C-818A1C22E34B}"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D1E1901-F415-461E-BF89-5345A9C569F9}"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703BEE6D-F9EC-42FE-8F81-F39639094E05}"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F42925AC-E92D-4FA1-8034-67B3ACF1D840}" type="VALUE">
                      <a:rPr lang="en-US"/>
                      <a:pPr/>
                      <a:t>[VĒRTĪBA]</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Bezdarbs!$A$3:$D$3</c:f>
              <c:strCache>
                <c:ptCount val="4"/>
                <c:pt idx="0">
                  <c:v>2016.gads</c:v>
                </c:pt>
                <c:pt idx="1">
                  <c:v>2017.gads</c:v>
                </c:pt>
                <c:pt idx="2">
                  <c:v>2018.gads</c:v>
                </c:pt>
                <c:pt idx="3">
                  <c:v>2019.gads</c:v>
                </c:pt>
              </c:strCache>
            </c:strRef>
          </c:cat>
          <c:val>
            <c:numRef>
              <c:f>Bezdarbs!$A$4:$D$4</c:f>
              <c:numCache>
                <c:formatCode>General</c:formatCode>
                <c:ptCount val="4"/>
                <c:pt idx="0">
                  <c:v>14.7</c:v>
                </c:pt>
                <c:pt idx="1">
                  <c:v>12.4</c:v>
                </c:pt>
                <c:pt idx="2">
                  <c:v>13.1</c:v>
                </c:pt>
                <c:pt idx="3">
                  <c:v>10.3</c:v>
                </c:pt>
              </c:numCache>
            </c:numRef>
          </c:val>
        </c:ser>
        <c:dLbls>
          <c:showLegendKey val="0"/>
          <c:showVal val="1"/>
          <c:showCatName val="0"/>
          <c:showSerName val="0"/>
          <c:showPercent val="0"/>
          <c:showBubbleSize val="0"/>
        </c:dLbls>
        <c:gapWidth val="219"/>
        <c:overlap val="-27"/>
        <c:axId val="446368096"/>
        <c:axId val="446368488"/>
      </c:barChart>
      <c:catAx>
        <c:axId val="4463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6368488"/>
        <c:crosses val="autoZero"/>
        <c:auto val="1"/>
        <c:lblAlgn val="ctr"/>
        <c:lblOffset val="100"/>
        <c:noMultiLvlLbl val="0"/>
      </c:catAx>
      <c:valAx>
        <c:axId val="4463684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4636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cap="all"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Sheet3!$E$1:$L$1</c:f>
              <c:strCache>
                <c:ptCount val="8"/>
                <c:pt idx="0">
                  <c:v>SIA </c:v>
                </c:pt>
                <c:pt idx="1">
                  <c:v>Z/S</c:v>
                </c:pt>
                <c:pt idx="2">
                  <c:v>Biedrības</c:v>
                </c:pt>
                <c:pt idx="3">
                  <c:v>IK</c:v>
                </c:pt>
                <c:pt idx="4">
                  <c:v>IU</c:v>
                </c:pt>
                <c:pt idx="5">
                  <c:v>Draudze</c:v>
                </c:pt>
                <c:pt idx="6">
                  <c:v>Kooperatīvā sabiedrība</c:v>
                </c:pt>
                <c:pt idx="7">
                  <c:v>Ārvalstu komersanta filiāle</c:v>
                </c:pt>
              </c:strCache>
            </c:strRef>
          </c:cat>
          <c:val>
            <c:numRef>
              <c:f>Sheet3!$E$2:$L$2</c:f>
              <c:numCache>
                <c:formatCode>General</c:formatCode>
                <c:ptCount val="8"/>
                <c:pt idx="0">
                  <c:v>70</c:v>
                </c:pt>
                <c:pt idx="1">
                  <c:v>140</c:v>
                </c:pt>
                <c:pt idx="2">
                  <c:v>46</c:v>
                </c:pt>
                <c:pt idx="3">
                  <c:v>8</c:v>
                </c:pt>
                <c:pt idx="4">
                  <c:v>22</c:v>
                </c:pt>
                <c:pt idx="5">
                  <c:v>5</c:v>
                </c:pt>
                <c:pt idx="6">
                  <c:v>3</c:v>
                </c:pt>
                <c:pt idx="7">
                  <c:v>1</c:v>
                </c:pt>
              </c:numCache>
            </c:numRef>
          </c:val>
        </c:ser>
        <c:dLbls>
          <c:showLegendKey val="0"/>
          <c:showVal val="1"/>
          <c:showCatName val="0"/>
          <c:showSerName val="0"/>
          <c:showPercent val="0"/>
          <c:showBubbleSize val="0"/>
        </c:dLbls>
        <c:gapWidth val="219"/>
        <c:overlap val="-27"/>
        <c:axId val="446366136"/>
        <c:axId val="446363000"/>
      </c:barChart>
      <c:catAx>
        <c:axId val="446366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10" b="1"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46363000"/>
        <c:crosses val="autoZero"/>
        <c:auto val="1"/>
        <c:lblAlgn val="ctr"/>
        <c:lblOffset val="100"/>
        <c:noMultiLvlLbl val="0"/>
      </c:catAx>
      <c:valAx>
        <c:axId val="44636300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46366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637876755322"/>
          <c:y val="0.17614781638517299"/>
          <c:w val="0.70304015287866128"/>
          <c:h val="0.6761163363069490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4.3509366492754761E-2"/>
                  <c:y val="-2.3966786671576198E-2"/>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4.069290998166622E-2"/>
                  <c:y val="-0.10188870881502914"/>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7.9276713260201123E-2"/>
                  <c:y val="0.1963541914685471"/>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7.5968847383493354E-2"/>
                  <c:y val="-7.8832774042922035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7.8036464697130603E-2"/>
                  <c:y val="-1.6556603577607021E-2"/>
                </c:manualLayout>
              </c:layout>
              <c:showLegendKey val="0"/>
              <c:showVal val="1"/>
              <c:showCatName val="1"/>
              <c:showSerName val="0"/>
              <c:showPercent val="1"/>
              <c:showBubbleSize val="0"/>
              <c:extLst>
                <c:ext xmlns:c15="http://schemas.microsoft.com/office/drawing/2012/chart" uri="{CE6537A1-D6FC-4f65-9D91-7224C49458BB}">
                  <c15:layout>
                    <c:manualLayout>
                      <c:w val="0.21679818149409952"/>
                      <c:h val="0.18013188395004989"/>
                    </c:manualLayout>
                  </c15:layout>
                </c:ext>
              </c:extLst>
            </c:dLbl>
            <c:dLbl>
              <c:idx val="5"/>
              <c:layout>
                <c:manualLayout>
                  <c:x val="0.22370366987198273"/>
                  <c:y val="-3.7305970061007464E-2"/>
                </c:manualLayout>
              </c:layout>
              <c:showLegendKey val="0"/>
              <c:showVal val="1"/>
              <c:showCatName val="1"/>
              <c:showSerName val="0"/>
              <c:showPercent val="1"/>
              <c:showBubbleSize val="0"/>
              <c:extLst>
                <c:ext xmlns:c15="http://schemas.microsoft.com/office/drawing/2012/chart" uri="{CE6537A1-D6FC-4f65-9D91-7224C49458BB}">
                  <c15:layout>
                    <c:manualLayout>
                      <c:w val="0.24250248270192334"/>
                      <c:h val="0.13814321230388468"/>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1731534</c:v>
                </c:pt>
                <c:pt idx="1">
                  <c:v>262469</c:v>
                </c:pt>
                <c:pt idx="2">
                  <c:v>91730</c:v>
                </c:pt>
                <c:pt idx="3">
                  <c:v>3971192</c:v>
                </c:pt>
                <c:pt idx="4">
                  <c:v>125261</c:v>
                </c:pt>
                <c:pt idx="5">
                  <c:v>623324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41899679470403"/>
          <c:y val="0.19443377611449775"/>
          <c:w val="0.6016163602316329"/>
          <c:h val="0.579148444809336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2"/>
              </a:solidFill>
              <a:ln w="25400">
                <a:solidFill>
                  <a:schemeClr val="lt1"/>
                </a:solidFill>
              </a:ln>
              <a:effectLst/>
              <a:sp3d contourW="25400">
                <a:contourClr>
                  <a:schemeClr val="lt1"/>
                </a:contourClr>
              </a:sp3d>
            </c:spPr>
          </c:dPt>
          <c:dPt>
            <c:idx val="7"/>
            <c:bubble3D val="0"/>
            <c:spPr>
              <a:solidFill>
                <a:schemeClr val="accent4"/>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Lbls>
            <c:dLbl>
              <c:idx val="0"/>
              <c:layout>
                <c:manualLayout>
                  <c:x val="-0.13566862461225343"/>
                  <c:y val="-3.1984002961668312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3"/>
              <c:layout>
                <c:manualLayout>
                  <c:x val="6.6722274399468899E-3"/>
                  <c:y val="-0.11994001110625614"/>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4"/>
              <c:layout>
                <c:manualLayout>
                  <c:x val="4.0033364639681178E-2"/>
                  <c:y val="-6.7966006293545184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5"/>
              <c:layout>
                <c:manualLayout>
                  <c:x val="-1.5139228107126472E-2"/>
                  <c:y val="6.7892493454284567E-2"/>
                </c:manualLayout>
              </c:layout>
              <c:dLblPos val="bestFit"/>
              <c:showLegendKey val="1"/>
              <c:showVal val="1"/>
              <c:showCatName val="1"/>
              <c:showSerName val="0"/>
              <c:showPercent val="1"/>
              <c:showBubbleSize val="0"/>
              <c:extLst>
                <c:ext xmlns:c15="http://schemas.microsoft.com/office/drawing/2012/chart" uri="{CE6537A1-D6FC-4f65-9D91-7224C49458BB}"/>
              </c:extLst>
            </c:dLbl>
            <c:dLbl>
              <c:idx val="6"/>
              <c:layout>
                <c:manualLayout>
                  <c:x val="-4.5417684321379437E-2"/>
                  <c:y val="3.7718051919046966E-2"/>
                </c:manualLayout>
              </c:layout>
              <c:tx>
                <c:rich>
                  <a:bodyPr/>
                  <a:lstStyle/>
                  <a:p>
                    <a:fld id="{CB15B76F-ACFE-4D5A-AB01-5F45CB6E3340}" type="CATEGORYNAME">
                      <a:rPr lang="lv-LV"/>
                      <a:pPr/>
                      <a:t>[KATEGORIJAS NOSAUKUMS]</a:t>
                    </a:fld>
                    <a:r>
                      <a:rPr lang="lv-LV" baseline="0"/>
                      <a:t>; 1028642; </a:t>
                    </a:r>
                    <a:fld id="{944EA47A-4C47-4C1A-AC4E-53A6577AE288}" type="PERCENTAGE">
                      <a:rPr lang="lv-LV" baseline="0"/>
                      <a:pPr/>
                      <a:t>[PROCENTI]</a:t>
                    </a:fld>
                    <a:endParaRPr lang="lv-LV" baseline="0"/>
                  </a:p>
                </c:rich>
              </c:tx>
              <c:dLblPos val="bestFit"/>
              <c:showLegendKey val="1"/>
              <c:showVal val="1"/>
              <c:showCatName val="1"/>
              <c:showSerName val="0"/>
              <c:showPercent val="1"/>
              <c:showBubbleSize val="0"/>
              <c:extLst>
                <c:ext xmlns:c15="http://schemas.microsoft.com/office/drawing/2012/chart" uri="{CE6537A1-D6FC-4f65-9D91-7224C49458BB}">
                  <c15:dlblFieldTable/>
                  <c15:showDataLabelsRange val="0"/>
                </c:ext>
              </c:extLst>
            </c:dLbl>
            <c:dLbl>
              <c:idx val="7"/>
              <c:layout>
                <c:manualLayout>
                  <c:x val="2.1197668256491779E-2"/>
                  <c:y val="0"/>
                </c:manualLayout>
              </c:layout>
              <c:dLblPos val="bestFit"/>
              <c:showLegendKey val="1"/>
              <c:showVal val="1"/>
              <c:showCatName val="1"/>
              <c:showSerName val="0"/>
              <c:showPercent val="1"/>
              <c:showBubbleSize val="0"/>
              <c:extLst>
                <c:ext xmlns:c15="http://schemas.microsoft.com/office/drawing/2012/chart" uri="{CE6537A1-D6FC-4f65-9D91-7224C49458BB}">
                  <c15:layout>
                    <c:manualLayout>
                      <c:w val="0.22015364136716614"/>
                      <c:h val="9.8066934989522098E-2"/>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IZDEVUMI!$A$2:$A$10</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IZDEVUMI!$B$2:$B$10</c:f>
              <c:numCache>
                <c:formatCode>[$€-426]\ #,##0</c:formatCode>
                <c:ptCount val="9"/>
                <c:pt idx="0">
                  <c:v>825050</c:v>
                </c:pt>
                <c:pt idx="1">
                  <c:v>23065</c:v>
                </c:pt>
                <c:pt idx="2">
                  <c:v>2094209</c:v>
                </c:pt>
                <c:pt idx="3">
                  <c:v>50844</c:v>
                </c:pt>
                <c:pt idx="4">
                  <c:v>767954</c:v>
                </c:pt>
                <c:pt idx="5">
                  <c:v>34012</c:v>
                </c:pt>
                <c:pt idx="6">
                  <c:v>1026535</c:v>
                </c:pt>
                <c:pt idx="7">
                  <c:v>2414501</c:v>
                </c:pt>
                <c:pt idx="8">
                  <c:v>1284044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11097</Words>
  <Characters>6326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Kuzmins</dc:creator>
  <cp:keywords/>
  <dc:description/>
  <cp:lastModifiedBy>Rolands Kuzmins</cp:lastModifiedBy>
  <cp:revision>3</cp:revision>
  <dcterms:created xsi:type="dcterms:W3CDTF">2020-02-12T11:37:00Z</dcterms:created>
  <dcterms:modified xsi:type="dcterms:W3CDTF">2020-02-24T11:16:00Z</dcterms:modified>
</cp:coreProperties>
</file>