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4" w:rsidRPr="00F60035" w:rsidRDefault="000D35C4" w:rsidP="000D35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0D35C4" w:rsidRPr="00F60035" w:rsidRDefault="000D35C4" w:rsidP="000D35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</w:p>
    <w:p w:rsidR="000D35C4" w:rsidRPr="008D1B89" w:rsidRDefault="000D35C4" w:rsidP="000D35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2019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23.maija</w:t>
      </w:r>
      <w:proofErr w:type="spellEnd"/>
    </w:p>
    <w:p w:rsidR="000D35C4" w:rsidRPr="008D1B89" w:rsidRDefault="000D35C4" w:rsidP="000D35C4">
      <w:pPr>
        <w:ind w:firstLine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8D1B89">
        <w:rPr>
          <w:rFonts w:ascii="Times New Roman" w:hAnsi="Times New Roman" w:cs="Times New Roman"/>
          <w:bCs/>
          <w:sz w:val="24"/>
          <w:szCs w:val="24"/>
        </w:rPr>
        <w:t xml:space="preserve">Par 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sadarbības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līguma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slēgšanu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 xml:space="preserve"> AS „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Balvu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D1B89">
        <w:rPr>
          <w:rFonts w:ascii="Times New Roman" w:hAnsi="Times New Roman" w:cs="Times New Roman"/>
          <w:bCs/>
          <w:sz w:val="24"/>
          <w:szCs w:val="24"/>
        </w:rPr>
        <w:t>Enerģija</w:t>
      </w:r>
      <w:proofErr w:type="spellEnd"/>
      <w:r w:rsidRPr="008D1B89">
        <w:rPr>
          <w:rFonts w:ascii="Times New Roman" w:hAnsi="Times New Roman" w:cs="Times New Roman"/>
          <w:bCs/>
          <w:sz w:val="24"/>
          <w:szCs w:val="24"/>
        </w:rPr>
        <w:t>”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0D35C4" w:rsidRPr="008D1B89" w:rsidRDefault="000D35C4" w:rsidP="000D35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1B8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48</w:t>
      </w:r>
      <w:r w:rsidRPr="008D1B89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0D35C4" w:rsidRDefault="000D35C4" w:rsidP="000D35C4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D35C4" w:rsidRPr="008D1B89" w:rsidRDefault="000D35C4" w:rsidP="000D35C4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SADARBĪBAS LĪGUMS</w:t>
      </w:r>
    </w:p>
    <w:p w:rsidR="000D35C4" w:rsidRPr="008D1B89" w:rsidRDefault="000D35C4" w:rsidP="000D35C4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ERAF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līdzfinansētā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0D35C4" w:rsidRPr="008D1B89" w:rsidRDefault="000D35C4" w:rsidP="000D35C4">
      <w:pPr>
        <w:spacing w:before="120" w:after="12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Industriālās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teritorijas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attīstība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revitalizējot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īpašumus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novadā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īstenošanai</w:t>
      </w:r>
      <w:proofErr w:type="spellEnd"/>
    </w:p>
    <w:p w:rsidR="000D35C4" w:rsidRPr="008D1B89" w:rsidRDefault="000D35C4" w:rsidP="000D35C4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2019.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__. _____________</w:t>
      </w:r>
    </w:p>
    <w:p w:rsidR="000D35C4" w:rsidRPr="008D1B89" w:rsidRDefault="000D35C4" w:rsidP="000D35C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1B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D35C4" w:rsidRPr="008D1B89" w:rsidRDefault="000D35C4" w:rsidP="000D35C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novada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pašvaldība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90009115622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atrodas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Bērzpils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ielā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1A,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novadā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LV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4501,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Anita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etrova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kurš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rīkojas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saskaņā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lv-LV"/>
        </w:rPr>
        <w:t>likumu</w:t>
      </w:r>
      <w:proofErr w:type="spellEnd"/>
      <w:r>
        <w:rPr>
          <w:rFonts w:ascii="Times New Roman" w:hAnsi="Times New Roman" w:cs="Times New Roman"/>
          <w:sz w:val="24"/>
          <w:szCs w:val="24"/>
          <w:lang w:eastAsia="lv-LV"/>
        </w:rPr>
        <w:t xml:space="preserve"> „</w:t>
      </w:r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Par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pašvaldībām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” un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pašvaldības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nolikumu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turpmāk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tekstā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saukta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>„</w:t>
      </w:r>
      <w:proofErr w:type="spellStart"/>
      <w:r w:rsidRPr="008D1B89">
        <w:rPr>
          <w:rFonts w:ascii="Times New Roman" w:hAnsi="Times New Roman" w:cs="Times New Roman"/>
          <w:b/>
          <w:sz w:val="24"/>
          <w:szCs w:val="24"/>
          <w:lang w:eastAsia="lv-LV"/>
        </w:rPr>
        <w:t>Pašvaldība</w:t>
      </w:r>
      <w:proofErr w:type="spellEnd"/>
      <w:r w:rsidRPr="008D1B89">
        <w:rPr>
          <w:rFonts w:ascii="Times New Roman" w:hAnsi="Times New Roman" w:cs="Times New Roman"/>
          <w:b/>
          <w:sz w:val="24"/>
          <w:szCs w:val="24"/>
          <w:lang w:eastAsia="lv-LV"/>
        </w:rPr>
        <w:t>”</w:t>
      </w:r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, no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vienas</w:t>
      </w:r>
      <w:proofErr w:type="spellEnd"/>
      <w:r w:rsidRPr="008D1B8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hAnsi="Times New Roman" w:cs="Times New Roman"/>
          <w:sz w:val="24"/>
          <w:szCs w:val="24"/>
          <w:lang w:eastAsia="lv-LV"/>
        </w:rPr>
        <w:t>puses</w:t>
      </w:r>
      <w:proofErr w:type="spellEnd"/>
    </w:p>
    <w:p w:rsidR="000D35C4" w:rsidRPr="008D1B89" w:rsidRDefault="000D35C4" w:rsidP="000D35C4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A/S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Enerģija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Nr.40003148480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adrese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iela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9C,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novads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, LV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4501,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valdes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Sandra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Šalajeva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turpmāk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tekstā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saukts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sniedzējs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otras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:rsidR="000D35C4" w:rsidRPr="008D1B89" w:rsidRDefault="000D35C4" w:rsidP="000D35C4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D35C4" w:rsidRPr="008D1B89" w:rsidRDefault="000D35C4" w:rsidP="000D35C4">
      <w:pPr>
        <w:numPr>
          <w:ilvl w:val="0"/>
          <w:numId w:val="1"/>
        </w:numPr>
        <w:ind w:left="86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Likuma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15.panta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pirmās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daļas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1.punktu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0"/>
          <w:numId w:val="1"/>
        </w:numPr>
        <w:ind w:left="86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nistru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kabineta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Nr.645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nodarbinātība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5.6.2.specifiskā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mērķa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revitalizācija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reģenerējot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degradētās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integrētajām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0D35C4" w:rsidRPr="008D1B89" w:rsidRDefault="000D35C4" w:rsidP="000D35C4">
      <w:pPr>
        <w:numPr>
          <w:ilvl w:val="0"/>
          <w:numId w:val="1"/>
        </w:numPr>
        <w:ind w:left="86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Starp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Domi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28.decembrī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centralizētas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siltumapgādes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sniegšanu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0D35C4" w:rsidRPr="008D1B89" w:rsidRDefault="000D35C4" w:rsidP="000D35C4">
      <w:pPr>
        <w:numPr>
          <w:ilvl w:val="0"/>
          <w:numId w:val="1"/>
        </w:numPr>
        <w:ind w:left="862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novada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r w:rsidRPr="008D1B89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2018.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2024.gadam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ilgtermiņa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termiņ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stratēģiskajiem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uzstādījumiem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Noslēdz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turpmāk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:rsidR="000D35C4" w:rsidRPr="008D1B89" w:rsidRDefault="000D35C4" w:rsidP="000D35C4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priekšmets</w:t>
      </w:r>
      <w:proofErr w:type="spellEnd"/>
    </w:p>
    <w:p w:rsidR="000D35C4" w:rsidRPr="008D1B89" w:rsidRDefault="000D35C4" w:rsidP="000D35C4">
      <w:pPr>
        <w:numPr>
          <w:ilvl w:val="1"/>
          <w:numId w:val="2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sadarbosies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Eiropas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Reģionālās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fonda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līdzfinansētā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5.6.2.specifiskā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mērķa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revitalizācija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reģenerējot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degradētās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integrētajām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Industriālās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revitalizējot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novadā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ieceres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Balvu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tiks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izbūvētas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ražošanai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pielāgotas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ēkas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inženierkomunikācijām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tai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skaitā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katlu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māja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siltumapgādes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tīkli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pienākumi</w:t>
      </w:r>
      <w:proofErr w:type="spellEnd"/>
    </w:p>
    <w:p w:rsidR="000D35C4" w:rsidRPr="008D1B89" w:rsidRDefault="000D35C4" w:rsidP="000D35C4">
      <w:pPr>
        <w:numPr>
          <w:ilvl w:val="1"/>
          <w:numId w:val="2"/>
        </w:num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apņemas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fina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nsējumu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realizēt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1.1.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punktā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minētā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ieceri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šim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siltumapgādes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nodošanas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ekspluatācijā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ne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vēlāk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beigām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ieguldīt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sniedzēja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pamatkapitālā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daļu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kapitālsabiedrību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Komerclikumam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Realizējot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kabineta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Nr.645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augsme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nodarbinātība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5.6.2.specifiskā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mērķa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revitalizācija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reģenerējot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degradētās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integrētajām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procedūras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Nepieļaut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dubulto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Nenodot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citai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pienākumus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spacing w:before="120" w:after="120"/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uzskaites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veidlapu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de </w:t>
      </w:r>
      <w:proofErr w:type="spellStart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aņā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de </w:t>
      </w:r>
      <w:proofErr w:type="spellStart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uzskaites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de </w:t>
      </w:r>
      <w:proofErr w:type="spellStart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uzskaites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veidlapas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paraugu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partneris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piemērojami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de </w:t>
      </w:r>
      <w:proofErr w:type="spellStart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minimis</w:t>
      </w:r>
      <w:proofErr w:type="spellEnd"/>
      <w:r w:rsidRPr="008D1B8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nosacījumi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Informēt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aktivitāšu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ieviešanas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gaitu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aktuālajiem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skar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partneri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Veikt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visas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citas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veiksmīgai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ieviešanai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apņemas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šim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rīcībā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esošo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pārskatu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citas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termiņus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siltumapgādes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uzturēšanu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ieguldīšanas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pamatkapitālā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ietvaros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sniegšanu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piecus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maksājuma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veikšanas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saņēmējam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realizācijas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2.1.3.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apakšpunkta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ņemt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savā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pamatlīdzekļu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uzskaitē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bilancē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ieguldījumu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pamatkapitālā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Uzturēt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apsaimniekot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ietvaros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nozari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regulējošajiem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D35C4" w:rsidRPr="008D1B89" w:rsidRDefault="000D35C4" w:rsidP="000D35C4">
      <w:pPr>
        <w:numPr>
          <w:ilvl w:val="2"/>
          <w:numId w:val="2"/>
        </w:numPr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komercdarbībai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nosacījumus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sniegšanas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partneri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Norēķinu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atskaišu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sagatavošanas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kārtība</w:t>
      </w:r>
      <w:proofErr w:type="spellEnd"/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1.1.punktam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otrai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atvasinājumus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termiņā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nav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garāks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5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piecām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dienām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noteikumi</w:t>
      </w:r>
      <w:proofErr w:type="spellEnd"/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Pušu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D35C4" w:rsidRPr="008D1B89" w:rsidRDefault="000D35C4" w:rsidP="000D35C4">
      <w:pPr>
        <w:numPr>
          <w:ilvl w:val="2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 ______________________________________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tālr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: _______________, 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pasts: </w:t>
      </w:r>
      <w:hyperlink r:id="rId7" w:history="1">
        <w:r w:rsidRPr="008D1B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_______________________________</w:t>
        </w:r>
      </w:hyperlink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 </w:t>
      </w:r>
    </w:p>
    <w:p w:rsidR="000D35C4" w:rsidRPr="008D1B89" w:rsidRDefault="000D35C4" w:rsidP="000D35C4">
      <w:pPr>
        <w:numPr>
          <w:ilvl w:val="2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sniedzēja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___________________________ ______________________________________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tālr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_______________, e-pasts: </w:t>
      </w:r>
      <w:hyperlink r:id="rId8" w:history="1">
        <w:r w:rsidRPr="008D1B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lv-LV"/>
          </w:rPr>
          <w:t>_______________________________</w:t>
        </w:r>
      </w:hyperlink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Līgumā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nomaiņas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gadījumā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informē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otru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dienu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nomaiņas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brīža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nav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tiesīgas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vienpusēji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atkāpties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saistībām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uzņēmušās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parakstīšanu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izņemot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gadījumus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objektīvi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pamatots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nepārvaramas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varas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piemēram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stihiskas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nelaimes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avārijas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katastrofas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epidēmijas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u.c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izslēdz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iespēju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izpildīt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Pušu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pienākums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veikt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visus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minimumam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kaitējumu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izrietēt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nepārvaramas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varas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apstākļiem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apņemas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neizpaust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citas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personas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citām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iesaistītajām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gaitā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konfidenciāla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rakstura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kļuvusi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zināma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ieviešanas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gaitā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nav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uzskatāma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konfidenciālu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pieejama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Republikas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Strīdus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rodas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risina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savstarpēju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pārrunu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ceļā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panākot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tiek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rakstiski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Gadījumā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šāda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netiek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panākta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strīdi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tiek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risināti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Republikas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aktos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kāds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zaudē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spēku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neietekmē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pārējo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spēkā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esamību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iespējama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bez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Jebkuri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grozījumi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stājas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spēkā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tikai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abpusējas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parakstīšanas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brīdi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proofErr w:type="gram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kļūst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neatņemamu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sastāvdaļu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detalizēt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noslēdzot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hAnsi="Times New Roman"/>
          <w:sz w:val="24"/>
          <w:szCs w:val="24"/>
        </w:rPr>
        <w:t>Līgums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pēc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parakstīšanas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stājas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spēkā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spēkā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saistību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pilnīgai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izpildei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saistīto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glabāšanu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noslēguma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pārskata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apstiprināšanas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Default="000D35C4" w:rsidP="000D35C4">
      <w:pPr>
        <w:numPr>
          <w:ilvl w:val="1"/>
          <w:numId w:val="2"/>
        </w:numPr>
        <w:tabs>
          <w:tab w:val="left" w:pos="851"/>
        </w:tabs>
        <w:ind w:left="737" w:hanging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latviešu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valodās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lapām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(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divos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eksemplāros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eksemplāram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katrai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Pusei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Abi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eksemplāri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vienādu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spēku</w:t>
      </w:r>
      <w:proofErr w:type="spellEnd"/>
      <w:r w:rsidRPr="008D1B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D35C4" w:rsidRPr="008D1B89" w:rsidRDefault="000D35C4" w:rsidP="000D35C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D35C4" w:rsidRPr="008D1B89" w:rsidRDefault="000D35C4" w:rsidP="000D35C4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</w:t>
      </w:r>
      <w:proofErr w:type="spellEnd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8D1B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rekvizīti</w:t>
      </w:r>
      <w:proofErr w:type="spellEnd"/>
    </w:p>
    <w:p w:rsidR="000D35C4" w:rsidRPr="008D1B89" w:rsidRDefault="000D35C4" w:rsidP="000D35C4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8"/>
        <w:gridCol w:w="4148"/>
      </w:tblGrid>
      <w:tr w:rsidR="000D35C4" w:rsidRPr="008D1B89" w:rsidTr="00783CBC">
        <w:tc>
          <w:tcPr>
            <w:tcW w:w="4148" w:type="dxa"/>
          </w:tcPr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Balvu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novada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pašvaldība</w:t>
            </w:r>
            <w:proofErr w:type="spellEnd"/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Reģ.nr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. 90009115622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Bērzpils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1A,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Balvi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Balvu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novads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, LV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– </w:t>
            </w: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4501;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e – </w:t>
            </w: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pasts: dome@balvi.lv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proofErr w:type="gram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tālr</w:t>
            </w:r>
            <w:proofErr w:type="spellEnd"/>
            <w:proofErr w:type="gram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. 64522453</w:t>
            </w: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:rsidR="000D35C4" w:rsidRPr="008D1B89" w:rsidRDefault="000D35C4" w:rsidP="00783CB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Domes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priekšsēdētāja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vietniece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D35C4" w:rsidRPr="008D1B89" w:rsidRDefault="000D35C4" w:rsidP="00783CB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Anita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Petrova</w:t>
            </w:r>
            <w:proofErr w:type="spellEnd"/>
          </w:p>
        </w:tc>
        <w:tc>
          <w:tcPr>
            <w:tcW w:w="4148" w:type="dxa"/>
          </w:tcPr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A/S „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Balvu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Enerģija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reģistrācijas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Nr.40003148480</w:t>
            </w:r>
            <w:proofErr w:type="spellEnd"/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Vidzemes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iela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9C,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Balvi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Balvu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novads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, LV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4501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e – </w:t>
            </w: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pasts: ____________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Tālrunis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: __________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Fakss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: + 371 65381152</w:t>
            </w: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D35C4" w:rsidRPr="008D1B89" w:rsidRDefault="000D35C4" w:rsidP="00783CB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Valdes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priekšsēdētājs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D35C4" w:rsidRPr="008D1B89" w:rsidRDefault="000D35C4" w:rsidP="00783CBC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Sandris</w:t>
            </w:r>
            <w:proofErr w:type="spellEnd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D1B89">
              <w:rPr>
                <w:rFonts w:ascii="Times New Roman" w:eastAsia="Times New Roman" w:hAnsi="Times New Roman" w:cs="Times New Roman"/>
                <w:lang w:eastAsia="lv-LV"/>
              </w:rPr>
              <w:t>Šalajevs</w:t>
            </w:r>
            <w:proofErr w:type="spellEnd"/>
          </w:p>
          <w:p w:rsidR="000D35C4" w:rsidRPr="008D1B89" w:rsidRDefault="000D35C4" w:rsidP="00783CBC">
            <w:pPr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</w:tbl>
    <w:p w:rsidR="000D35C4" w:rsidRPr="008D1B89" w:rsidRDefault="000D35C4" w:rsidP="000D35C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D35C4" w:rsidRPr="00F60035" w:rsidRDefault="000D35C4" w:rsidP="000D35C4">
      <w:pPr>
        <w:widowControl w:val="0"/>
        <w:suppressAutoHyphens/>
        <w:ind w:right="50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</w:p>
    <w:p w:rsidR="000D35C4" w:rsidRPr="00F60035" w:rsidRDefault="000D35C4" w:rsidP="000D35C4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D35C4" w:rsidRPr="00F60035" w:rsidRDefault="000D35C4" w:rsidP="000D35C4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D35C4" w:rsidRPr="00F60035" w:rsidRDefault="000D35C4" w:rsidP="000D35C4">
      <w:pPr>
        <w:widowControl w:val="0"/>
        <w:suppressAutoHyphens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0D35C4" w:rsidRPr="00F60035" w:rsidRDefault="000D35C4" w:rsidP="000D35C4">
      <w:pPr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vietniece</w:t>
      </w:r>
      <w:proofErr w:type="spellEnd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  <w:proofErr w:type="spellStart"/>
      <w:r w:rsidRPr="00F60035">
        <w:rPr>
          <w:rFonts w:ascii="Times New Roman" w:eastAsia="Times New Roman" w:hAnsi="Times New Roman" w:cs="Times New Roman"/>
          <w:sz w:val="24"/>
          <w:szCs w:val="24"/>
          <w:lang w:eastAsia="lv-LV"/>
        </w:rPr>
        <w:t>A.Petrova</w:t>
      </w:r>
      <w:proofErr w:type="spellEnd"/>
    </w:p>
    <w:p w:rsidR="00E76679" w:rsidRPr="000D35C4" w:rsidRDefault="00E76679" w:rsidP="000D35C4">
      <w:pPr>
        <w:rPr>
          <w:szCs w:val="24"/>
        </w:rPr>
      </w:pPr>
    </w:p>
    <w:sectPr w:rsidR="00E76679" w:rsidRPr="000D35C4" w:rsidSect="00443C1A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12" w:rsidRDefault="00FE7112" w:rsidP="00443C1A">
      <w:r>
        <w:separator/>
      </w:r>
    </w:p>
  </w:endnote>
  <w:endnote w:type="continuationSeparator" w:id="0">
    <w:p w:rsidR="00FE7112" w:rsidRDefault="00FE7112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B5423E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35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12" w:rsidRDefault="00FE7112" w:rsidP="00443C1A">
      <w:r>
        <w:separator/>
      </w:r>
    </w:p>
  </w:footnote>
  <w:footnote w:type="continuationSeparator" w:id="0">
    <w:p w:rsidR="00FE7112" w:rsidRDefault="00FE7112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03DE"/>
    <w:multiLevelType w:val="hybridMultilevel"/>
    <w:tmpl w:val="F2F2C70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435C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35C4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23E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E7112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0D3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jermolajevs@preil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s.jermolajevs@preil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2019-05-24T10:23:00Z</dcterms:created>
  <dcterms:modified xsi:type="dcterms:W3CDTF">2019-05-24T10:23:00Z</dcterms:modified>
</cp:coreProperties>
</file>